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620" w:rsidRPr="00096A40" w14:paraId="790FAF85" w14:textId="77777777" w:rsidTr="0092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A5BC8D4" w14:textId="77777777" w:rsidR="00920620" w:rsidRPr="00096A40" w:rsidRDefault="00920620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</w:pPr>
            <w:r w:rsidRPr="00096A40">
              <w:rPr>
                <w:rFonts w:ascii="Times New Roman" w:hAnsi="Times New Roman" w:cs="Times New Roman"/>
                <w:b w:val="0"/>
                <w:sz w:val="24"/>
                <w:szCs w:val="24"/>
                <w:lang w:val="sr-Latn-ME"/>
              </w:rPr>
              <w:t xml:space="preserve">  </w:t>
            </w:r>
          </w:p>
          <w:p w14:paraId="7E342A61" w14:textId="77777777" w:rsidR="00920620" w:rsidRPr="00096A40" w:rsidRDefault="00920620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96A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JU </w:t>
            </w:r>
            <w:r w:rsidR="00D72FAB" w:rsidRPr="00096A4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Crnogorsko narodno pozorište</w:t>
            </w:r>
          </w:p>
          <w:p w14:paraId="324AC260" w14:textId="77777777" w:rsidR="00920620" w:rsidRPr="00096A40" w:rsidRDefault="00920620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920620" w:rsidRPr="007434F2" w14:paraId="5C6A1691" w14:textId="77777777" w:rsidTr="0092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CD6891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831683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A777173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3482B76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2B809D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95D3007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3708679D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87BB38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CA2EC15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31479149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IZVJEŠTAJ O RADU I </w:t>
            </w:r>
          </w:p>
          <w:p w14:paraId="219D6514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IZVJEŠTAJ O FINANSIJSKOM POSLOVANJU</w:t>
            </w:r>
          </w:p>
          <w:p w14:paraId="2E3B75A7" w14:textId="77777777" w:rsidR="00920620" w:rsidRPr="007434F2" w:rsidRDefault="00920620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ZA 202</w:t>
            </w:r>
            <w:r w:rsidR="00D72FAB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 GODINU</w:t>
            </w:r>
          </w:p>
          <w:p w14:paraId="3A1D42C9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F97FEED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51B7EC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ADB4002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8334A8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2BF8AB8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9396E9D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0B55589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434BE12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66CA63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13222A4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B67B51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7499E53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4EFBC7A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C27F704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43C0CA7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EBE1EF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3EB78BDA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27D1006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32DC8A4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1B08B72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7CE27837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72AD416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1171E71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4EF7B5B5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002C6BC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558ED5F0" w14:textId="77777777" w:rsidR="00920620" w:rsidRPr="007434F2" w:rsidRDefault="0092062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3B24881" w14:textId="77777777" w:rsidR="00920620" w:rsidRPr="007434F2" w:rsidRDefault="00D72FAB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Podgorica</w:t>
            </w:r>
            <w:r w:rsidR="00920620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, </w:t>
            </w:r>
            <w:r w:rsidR="00280DEA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mart</w:t>
            </w:r>
            <w:r w:rsidR="00920620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202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4</w:t>
            </w:r>
            <w:r w:rsidR="00920620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 godine</w:t>
            </w:r>
          </w:p>
          <w:p w14:paraId="4994616B" w14:textId="77777777" w:rsidR="007C6AAF" w:rsidRPr="007434F2" w:rsidRDefault="007C6AAF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9F0" w:rsidRPr="007434F2" w14:paraId="7ED6A922" w14:textId="77777777" w:rsidTr="0025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F0AA90" w14:textId="77777777" w:rsidR="00D72FAB" w:rsidRPr="007434F2" w:rsidRDefault="00D72FAB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7CC5A1C" w14:textId="77777777" w:rsidR="002529F0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I OPŠTE INFORMACIJE</w:t>
            </w:r>
          </w:p>
          <w:p w14:paraId="25A9D17F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2529F0" w:rsidRPr="007434F2" w14:paraId="48EABE74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C237FCE" w14:textId="381E373F" w:rsidR="002529F0" w:rsidRPr="007434F2" w:rsidRDefault="002529F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Naziv institucij</w:t>
            </w:r>
            <w:r w:rsidR="00480013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e: </w:t>
            </w:r>
          </w:p>
        </w:tc>
      </w:tr>
      <w:tr w:rsidR="002529F0" w:rsidRPr="007434F2" w14:paraId="63B77EF9" w14:textId="77777777" w:rsidTr="0048001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993FF4" w14:textId="77777777" w:rsidR="002529F0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JU </w:t>
            </w:r>
            <w:r w:rsidR="00D72FA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Crnogorsko narodno pozorište</w:t>
            </w:r>
            <w:r w:rsidR="00DA4B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(u daljem tekstu: 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CNP</w:t>
            </w:r>
            <w:r w:rsidR="00DA4B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)</w:t>
            </w:r>
          </w:p>
          <w:p w14:paraId="42376F59" w14:textId="77777777" w:rsidR="002529F0" w:rsidRPr="007434F2" w:rsidRDefault="002529F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372EDC8B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18F07E7" w14:textId="77777777" w:rsidR="00345CCE" w:rsidRPr="007434F2" w:rsidRDefault="0096364C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Matična z</w:t>
            </w:r>
            <w:r w:rsidR="00345CCE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akonska regulativa</w:t>
            </w:r>
            <w:r w:rsidR="00A02525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i opšti akti</w:t>
            </w:r>
            <w:r w:rsidR="00345CCE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:</w:t>
            </w:r>
          </w:p>
        </w:tc>
      </w:tr>
      <w:tr w:rsidR="00345CCE" w:rsidRPr="007434F2" w14:paraId="073DFCF6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604FB3D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Zakon o kulturi, Zakon o pozorišnoj djelatnosti, Odluka o organizovanju</w:t>
            </w:r>
            <w:r w:rsidR="00E20D7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Statut </w:t>
            </w:r>
            <w:r w:rsidR="00E20D7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D72FA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Pravilnik o unutrašnjoj organizaciji i sistematizaciji JU Crnogorsko narodno pozorište</w:t>
            </w:r>
            <w:r w:rsidR="00B9652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="004B623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pravilnici internih procedura.</w:t>
            </w:r>
          </w:p>
          <w:p w14:paraId="1BCFA01B" w14:textId="5BCC1FF3" w:rsidR="004B6232" w:rsidRPr="007434F2" w:rsidRDefault="004B6232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4CA48EE4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1E11FA" w14:textId="7A3A4652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Status:</w:t>
            </w:r>
            <w:r w:rsidR="00480013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345CCE" w:rsidRPr="007434F2" w14:paraId="3AB1306E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00AB065" w14:textId="77777777" w:rsidR="00345CCE" w:rsidRPr="007434F2" w:rsidRDefault="00856039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Državna</w:t>
            </w:r>
            <w:r w:rsidR="00345CCE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javna ustanova kulture</w:t>
            </w:r>
          </w:p>
          <w:p w14:paraId="151DFE4B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024B5A51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A9BB3BE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Organizaciono ustrojstvo:</w:t>
            </w:r>
          </w:p>
        </w:tc>
      </w:tr>
      <w:tr w:rsidR="00345CCE" w:rsidRPr="007434F2" w14:paraId="40CB9D23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FD4842F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Narodno pozorište</w:t>
            </w:r>
          </w:p>
          <w:p w14:paraId="36DFBFBE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75290079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E581BA2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Unutrašnja organizacija:</w:t>
            </w:r>
          </w:p>
        </w:tc>
      </w:tr>
      <w:tr w:rsidR="00345CCE" w:rsidRPr="007434F2" w14:paraId="58EB1F38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040E01" w14:textId="0B7731FD" w:rsidR="00345CCE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Uprava, Umjetnički sektor, Služba produkcije, Tehnički sektor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su: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Odsjek za tehničko–scensku produkciju; Odsjek za održavanje; Servis za zaštitu i higijenu), Sektor finansija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su: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Odsjek za računovodstvo, Odsjek za nabavke, Odsjek za ugostiteljstvo), Služba za kadrovske, pravne i opšte poslove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je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Arhiva), Služba za marketing (</w:t>
            </w:r>
            <w:r w:rsidR="00764FC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čijem sastavu je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Odsjek za prodaju), PR služba, Izdavačko-dokumentaciono odjeljenje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539A1381" w14:textId="77777777" w:rsidR="00DB6DD5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1FA90352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197BA3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Djelatnost:</w:t>
            </w:r>
          </w:p>
        </w:tc>
      </w:tr>
      <w:tr w:rsidR="00345CCE" w:rsidRPr="007434F2" w14:paraId="32026DC4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F111DE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Ostvarivanje pozorišne djelatnosti, uz druge oblike kulturno-umjetničkog stvaralaštva, u skladu sa zakonom, osnivačkim aktom i statutom.</w:t>
            </w:r>
          </w:p>
          <w:p w14:paraId="08474A84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1BB24A68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239BA71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Misija:</w:t>
            </w:r>
          </w:p>
        </w:tc>
      </w:tr>
      <w:tr w:rsidR="00345CCE" w:rsidRPr="007434F2" w14:paraId="7C023571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510BED" w14:textId="77777777" w:rsidR="00345CCE" w:rsidRPr="007434F2" w:rsidRDefault="00345CCE" w:rsidP="004B623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Nacionalna i internacionalna prezent</w:t>
            </w:r>
            <w:r w:rsidR="004B623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acija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4B623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projekata visokog umjetničkog dometa koje referišu na obaveze institucije koja je organizovana sa statusom narodnog pozorišta u skladu sa zakonom (priprema i izvođenje djela iz kulturne baštine Crne Gore i svjetske kulturne baštine, savremene domaće i strane drame, uz djela muzičke i muzičko-scenske djelatnosti od izuzetnog značaja za razvoj kulture i prosvjetiteljske misije).</w:t>
            </w:r>
          </w:p>
          <w:p w14:paraId="41913DF2" w14:textId="28D3D44C" w:rsidR="00116442" w:rsidRPr="007434F2" w:rsidRDefault="00116442" w:rsidP="004B6232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6F500ABD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BC929A8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Ciljna grupa:</w:t>
            </w:r>
          </w:p>
        </w:tc>
      </w:tr>
      <w:tr w:rsidR="00345CCE" w:rsidRPr="007434F2" w14:paraId="0CEA6C56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B8E679" w14:textId="2E1D069D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Publika svih generacija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</w:p>
          <w:p w14:paraId="0C6EACDE" w14:textId="77777777" w:rsidR="00DB1107" w:rsidRPr="007434F2" w:rsidRDefault="00DB1107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08EA5560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4ACEC0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Prostorni kapaciteti:</w:t>
            </w:r>
          </w:p>
        </w:tc>
      </w:tr>
      <w:tr w:rsidR="00345CCE" w:rsidRPr="007434F2" w14:paraId="23E5C85D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0D9EB24" w14:textId="54D7F7A3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Zgrada Pozorišta </w:t>
            </w:r>
            <w:r w:rsidR="00DB6DD5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(Velika scena, Scena Studio, baletska sala... )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="00DB6DD5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 pripadajućim 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poslovnim prostorima i pravom upravljanja nad dvorišnim prostorima.</w:t>
            </w:r>
          </w:p>
          <w:p w14:paraId="631E7E72" w14:textId="77777777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345CCE" w:rsidRPr="007434F2" w14:paraId="74A35406" w14:textId="77777777" w:rsidTr="00252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444F4F" w14:textId="1F699D82" w:rsidR="00345CCE" w:rsidRPr="007434F2" w:rsidRDefault="00345CC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Broj zaposlenih:</w:t>
            </w:r>
          </w:p>
        </w:tc>
      </w:tr>
      <w:tr w:rsidR="00345CCE" w:rsidRPr="007434F2" w14:paraId="1B2E0332" w14:textId="77777777" w:rsidTr="002529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DB7193" w14:textId="77777777" w:rsidR="00345CCE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139</w:t>
            </w:r>
          </w:p>
          <w:p w14:paraId="55A0F6EF" w14:textId="77777777" w:rsidR="00E20D7F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E20D7F" w:rsidRPr="007434F2" w14:paraId="0020AA56" w14:textId="77777777" w:rsidTr="00E20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3D5CDF" w14:textId="77777777" w:rsidR="00E20D7F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Organ upravljanja:</w:t>
            </w:r>
          </w:p>
        </w:tc>
      </w:tr>
      <w:tr w:rsidR="00E20D7F" w:rsidRPr="007434F2" w14:paraId="13A3A552" w14:textId="77777777" w:rsidTr="00E20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046BDEF" w14:textId="77777777" w:rsidR="00C92C2A" w:rsidRPr="007434F2" w:rsidRDefault="00C92C2A" w:rsidP="0011644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</w:p>
          <w:p w14:paraId="0E62F8F5" w14:textId="03460552" w:rsidR="00116442" w:rsidRPr="007434F2" w:rsidRDefault="00E20D7F" w:rsidP="0011644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Savjet 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CNP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imenovala je Vlada Crne Gore u sastavu</w:t>
            </w:r>
            <w:r w:rsidR="00A841A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: </w:t>
            </w:r>
            <w:r w:rsidR="00E3570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Vasko Raičević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predsjednik i članovi: </w:t>
            </w:r>
            <w:r w:rsidR="00E3570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Senad Šahmanović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="00E3570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Gojko Berkuljan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Predrag Uljarević</w:t>
            </w:r>
            <w:r w:rsidR="00E3570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 </w:t>
            </w:r>
            <w:r w:rsidR="00E3570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Bud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imir</w:t>
            </w:r>
            <w:r w:rsidR="00E3570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Rašović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predstavnik zaposlenih.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Tokom 2023. godine, Vlada je razriješila Predraga Uljarevića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na lični zahtjev (Rješenje br. 07-104/23-4132/3 od 05.09.2023.godine), 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koji je bio član Savjeta u ime osnivača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 Takođe,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reprezentativn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organizacij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Sindikata CNP </w:t>
            </w:r>
            <w:r w:rsidR="00ED7C2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krajem 2023. godine pokrenul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 su i sprovele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ED7C2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inicijativu 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o izglasavanju 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nepovjerenj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Budi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miru</w:t>
            </w:r>
            <w:r w:rsidR="008560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Rašoviću</w:t>
            </w:r>
            <w:r w:rsidR="00ED7C2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(koje je realizovano tajnim glasanjem zaposlenih 15.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ED7C2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januara 2024. godine)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 čemu je Ministarstvo kulture i medija</w:t>
            </w:r>
            <w:r w:rsidR="00C92C2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(u daljem tekstu: Ministarstvo)</w:t>
            </w:r>
            <w:r w:rsidR="0011644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blagovremeno informisano. </w:t>
            </w:r>
          </w:p>
          <w:p w14:paraId="56A8A9A0" w14:textId="7A361B67" w:rsidR="00116442" w:rsidRPr="007434F2" w:rsidRDefault="00116442" w:rsidP="0011644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Istim povodom, reprezentativne organizacije Sindikata CNP sprovele su postupak izbora novog člana u ime zaposlenih, u kojem je tajnim glasanjem izabrana glumica Jadranka Mamić</w:t>
            </w:r>
            <w:r w:rsidR="00C92C2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o čemu je Ministarstvo takođe obaviješteno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. </w:t>
            </w:r>
          </w:p>
          <w:p w14:paraId="34D42D8B" w14:textId="77777777" w:rsidR="00C92C2A" w:rsidRPr="007434F2" w:rsidRDefault="00116442" w:rsidP="0011644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 osnovu svega navedenog, o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čekujemo da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Vlada Crne Gore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u </w:t>
            </w:r>
            <w:r w:rsidR="00460AD7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prvom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kvartalu 2024. godine imenuje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dva nova člana Savjeta (jedno u ime osnivača i jedno u ime zaposlenih), 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kako bi organ upravljanja </w:t>
            </w:r>
            <w:r w:rsidR="00C92C2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ustanove 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mogao funkcionalno realizovati svoje obaveze</w:t>
            </w:r>
            <w:r w:rsidR="00C92C2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. </w:t>
            </w:r>
          </w:p>
          <w:p w14:paraId="3DB9CC97" w14:textId="26E23B99" w:rsidR="00DA4BE8" w:rsidRPr="007434F2" w:rsidRDefault="00C92C2A" w:rsidP="00116442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Podsjećamo da shodno zakonima i statutu, Savjet ustanove broji pet članova: četiri u ime osnivača i jedan u ime zaposlenih.</w:t>
            </w:r>
            <w:r w:rsidR="0005529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1BEAA409" w14:textId="77777777" w:rsidR="0005529D" w:rsidRPr="007434F2" w:rsidRDefault="0005529D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E20D7F" w:rsidRPr="007434F2" w14:paraId="7F43012A" w14:textId="77777777" w:rsidTr="00E20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809E92C" w14:textId="77777777" w:rsidR="00E20D7F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Organ rukovođenja:</w:t>
            </w:r>
          </w:p>
        </w:tc>
      </w:tr>
      <w:tr w:rsidR="00E20D7F" w:rsidRPr="007434F2" w14:paraId="02DC1E37" w14:textId="77777777" w:rsidTr="00E20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890B3B3" w14:textId="77777777" w:rsidR="00E20D7F" w:rsidRPr="007434F2" w:rsidRDefault="00E20D7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Ilija Subotić, direktor</w:t>
            </w:r>
          </w:p>
          <w:p w14:paraId="724AB536" w14:textId="77777777" w:rsidR="00E20D7F" w:rsidRPr="007434F2" w:rsidRDefault="00DB6DD5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Vesna Vujošević Labović</w:t>
            </w:r>
            <w:r w:rsidR="00E20D7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umjetnička direktorka</w:t>
            </w:r>
          </w:p>
          <w:p w14:paraId="3716DAFE" w14:textId="77777777" w:rsidR="00E3570D" w:rsidRPr="007434F2" w:rsidRDefault="00E3570D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</w:tbl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359C" w:rsidRPr="007434F2" w14:paraId="0C80F402" w14:textId="77777777" w:rsidTr="000C3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7FD296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</w:p>
          <w:p w14:paraId="2FBE9D96" w14:textId="77777777" w:rsidR="00DA1C62" w:rsidRPr="007434F2" w:rsidRDefault="00DA1C62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II PRAVNI</w:t>
            </w:r>
            <w:r w:rsidR="0077697F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OPŠTI </w:t>
            </w:r>
            <w:r w:rsidR="0077697F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i KADROVSKI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POSLOVI</w:t>
            </w:r>
          </w:p>
          <w:p w14:paraId="3EB04CD9" w14:textId="77777777" w:rsidR="000C359C" w:rsidRPr="007434F2" w:rsidRDefault="000C359C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  <w:tr w:rsidR="000C359C" w:rsidRPr="004D179D" w14:paraId="70CCA4AD" w14:textId="77777777" w:rsidTr="000C3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0389A6" w14:textId="4220BFFD" w:rsidR="00C0451A" w:rsidRPr="007434F2" w:rsidRDefault="006D3839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</w:t>
            </w:r>
            <w:r w:rsidR="0077697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 domena opštih, pravnih i kadrovskih poslova realizovane su sljedeće obaveze:</w:t>
            </w:r>
          </w:p>
          <w:p w14:paraId="5EC49EE9" w14:textId="2915EE2E" w:rsidR="00C0451A" w:rsidRPr="007434F2" w:rsidRDefault="00C0451A" w:rsidP="00096A40">
            <w:pPr>
              <w:pStyle w:val="NoSpacing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Rad Savjeta CNP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obezbjeđivan je u kontinuitetu. Održano je </w:t>
            </w:r>
            <w:r w:rsidR="0029379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11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sjednica na kojima su </w:t>
            </w:r>
            <w:r w:rsidR="000C359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razmatra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</w:t>
            </w:r>
            <w:r w:rsidR="000C359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A04B13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različita</w:t>
            </w:r>
            <w:r w:rsidR="000C359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pitanja iz nadležnosti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Savjeta, uz</w:t>
            </w:r>
            <w:r w:rsidR="00D75DD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pripremljene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materijal</w:t>
            </w:r>
            <w:r w:rsidR="00D75DD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dokumentacij</w:t>
            </w:r>
            <w:r w:rsidR="00D75DD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neophodn</w:t>
            </w:r>
            <w:r w:rsidR="00D75DD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za odlučivanje; </w:t>
            </w:r>
            <w:r w:rsidR="000C359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3811495B" w14:textId="2E9CC240" w:rsidR="004D15F3" w:rsidRPr="007434F2" w:rsidRDefault="00C0451A" w:rsidP="00096A40">
            <w:pPr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U oblasti normativne djelatnosti,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u cilju unapređenja pravne infrastrukture usvojeno je </w:t>
            </w:r>
            <w:r w:rsidR="0084455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pet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(</w:t>
            </w:r>
            <w:r w:rsidR="0084455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5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) novih akata</w:t>
            </w:r>
            <w:r w:rsidR="006D3839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: </w:t>
            </w:r>
            <w:r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Pravilnik o uslovima ostvarivanja prava i načinu isplate jednokratne  pomoći za zaposlene u JU CNP</w:t>
            </w:r>
            <w:r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; </w:t>
            </w:r>
            <w:r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Pravilnik o uslovima i načinu odobravanja službenih putovanja, obračunu troškova i isplati sredstava iz blagajne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drawing>
                <wp:inline distT="0" distB="0" distL="0" distR="0" wp14:anchorId="762F6694" wp14:editId="137F3E25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; </w:t>
            </w:r>
            <w:r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Pravilnik o varijabilnom dijelu zarade zasposlenih u JU CNP</w:t>
            </w:r>
            <w:r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; </w:t>
            </w:r>
            <w:r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Liste kategorija registraturske građe sa rokovima čuvanja u JU CNP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 xml:space="preserve">, 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 takođe je a</w:t>
            </w:r>
            <w:r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žuriran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V</w:t>
            </w:r>
            <w:r w:rsidRPr="007434F2">
              <w:rPr>
                <w:rFonts w:ascii="Times New Roman" w:eastAsia="Times New Roman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odič za slobodan pristup informacijama u posjedu JU CNP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istom kontekstu 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započeo je rad na izradi još 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tri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(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3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) akta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: 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 xml:space="preserve">Pravilnik o disciplinskoj i materijalnoj odgovornosti zaposlenih u JU 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>CNP</w:t>
            </w:r>
            <w:r w:rsidR="006D3839" w:rsidRPr="007434F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noProof/>
                <w:sz w:val="24"/>
                <w:szCs w:val="24"/>
                <w:lang w:val="sr-Latn-ME"/>
              </w:rPr>
              <w:t xml:space="preserve">; 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Pravilnik o pravilima ponašanja poslodavca i zaposlenog o prevenciji i zaštiti od zlostavljanju na radu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  <w:r w:rsidR="004D15F3"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i/>
                <w:iCs/>
                <w:noProof/>
                <w:sz w:val="24"/>
                <w:szCs w:val="24"/>
                <w:lang w:val="sr-Latn-ME"/>
              </w:rPr>
              <w:t>Pravilnik o stručnom osposobljavanju zaposlenih u JU CNP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0A37F371" w14:textId="43CA801D" w:rsidR="0077697F" w:rsidRPr="007434F2" w:rsidRDefault="00DA1C62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FF0000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odnosu na</w:t>
            </w:r>
            <w:r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zaštitu autorskih prava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CNP je blagovremeno pokretalo proceduru posredstvom specijalizovanih agencija u zemlji i regionu, kao i kroz direktnu komunikaciju s nosiocima </w:t>
            </w:r>
            <w:r w:rsidR="006D3839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tih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prava i prevodiocima i obezbjeđivalo sredstva za </w:t>
            </w:r>
            <w:r w:rsidR="00D75DD8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te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naknadu;</w:t>
            </w:r>
          </w:p>
          <w:p w14:paraId="1F82DF30" w14:textId="6A55D56A" w:rsidR="0001199C" w:rsidRPr="007434F2" w:rsidRDefault="0001199C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lastRenderedPageBreak/>
              <w:t xml:space="preserve">Izvršeno je </w:t>
            </w:r>
            <w:r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usklađivanje zarada</w:t>
            </w:r>
            <w:r w:rsidR="00124669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zaposlenih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</w:t>
            </w:r>
            <w:r w:rsidR="00D75DD8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124669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zmjenama Granskog kolektivnog ugovora za oblast kulture </w:t>
            </w:r>
            <w:r w:rsidR="00124669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 marta 2023. godine, donošenjem privremenih rješenja o zaradi;</w:t>
            </w:r>
          </w:p>
          <w:p w14:paraId="7AB9038F" w14:textId="77F25923" w:rsidR="00124669" w:rsidRPr="007434F2" w:rsidRDefault="00124669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Formirana je radna grupa i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pristupilo </w:t>
            </w:r>
            <w:r w:rsidR="00DC7BB6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se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izmjena</w:t>
            </w:r>
            <w:r w:rsidR="00DC7BB6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m</w:t>
            </w:r>
            <w:r w:rsidR="00D75DD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="00DC7BB6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Kolektivnog ugovora </w:t>
            </w:r>
            <w:r w:rsidR="00D75DD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JU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CNP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 njegovo usklađivanje s Granskim kolektivnim ugovorom;</w:t>
            </w:r>
          </w:p>
          <w:p w14:paraId="26CA7DF6" w14:textId="61969756" w:rsidR="00CA7375" w:rsidRPr="007434F2" w:rsidRDefault="0077697F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Zakonom o radu propisanoj proceduri, a uz saglasnosti nadležnih državnih organa, sproveden je postupak</w:t>
            </w:r>
            <w:r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prijema u radni odnos na određeno vrijeme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četiri nova </w:t>
            </w:r>
            <w:r w:rsidR="00844558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zaposlena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(po jedan izvršilac za radna mjesta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arhivar i domar i dva scenska dekoratera)</w:t>
            </w:r>
            <w:r w:rsidR="00342C41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414F0755" w14:textId="4A732D74" w:rsidR="00CA7375" w:rsidRPr="007434F2" w:rsidRDefault="00342C41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Realizovana je, u skladu s propisima, </w:t>
            </w:r>
            <w:r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transformacija ugovora o radu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s određenog na neodređeno vrijeme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 tri glumca, muzičkog i filmskog urednika, dramaturga i šefa računovodstva (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glumci: 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Jovan Dabović, Tihana Ćulafić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Sanja Vujisić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Ivana Čanović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muzički urednik, Danilo Marunović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filmski urednik, Stefan Bošković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dramaturg, Milica Radulović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šef računovodstva), dok je po sili zakona 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(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starosna penzija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) 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radni odnos prestao 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 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pe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</w:t>
            </w:r>
            <w:r w:rsidR="0084455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ro zaposlenih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(Milodarka Radulović, Goran Bulajić, Marko Baćović, Miomir Malović i Miomir</w:t>
            </w:r>
            <w:r w:rsidR="00CA7375"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Ivanović). Istovremeno, na osnovu</w:t>
            </w:r>
            <w:r w:rsidR="00CA7375"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CA7375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sporazumnog raskida ugovora radni odnos prestao je i glumcu Slobodanu Marunoviću; </w:t>
            </w:r>
          </w:p>
          <w:p w14:paraId="042CA411" w14:textId="75EC721D" w:rsidR="00922B11" w:rsidRPr="007434F2" w:rsidRDefault="00124669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skladu sa zakonom i propisanom procedurom, pripremljeni su dosijei i 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31. januara 2023. godine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dostavljeni zahtjevi Ministarstvu, odnosno Komisiji za dodjelu zvanja dramskim umjetnicima, za 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dodjelu zvanja prvaka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glumcima Ani Vujošević, Nadi Vukčević i Srđanu Grahovcu</w:t>
            </w:r>
            <w:r w:rsidR="00D75DD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dok se odluka još uvijek čeka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14F5A3CA" w14:textId="08BBA972" w:rsidR="002925F4" w:rsidRPr="007434F2" w:rsidRDefault="002925F4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Uredno su realizovane 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 sljedeće </w:t>
            </w:r>
            <w:r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obaveze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: </w:t>
            </w:r>
            <w:r w:rsidR="006D3839" w:rsidRPr="007434F2">
              <w:rPr>
                <w:rFonts w:ascii="Times New Roman" w:eastAsia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subvencije kod Zavoda za zapošljavanje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Fond za profesionalnu rehabilitaciju i zapošljavanje lica s invaliditetom povodom priznatog prava na mjesečne subvencije zaposlenih </w:t>
            </w:r>
            <w:r w:rsidR="00922B11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CNP </w:t>
            </w:r>
            <w:r w:rsidR="006D3839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(</w:t>
            </w:r>
            <w:r w:rsidR="006D383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Veselin Vuković, Sanja Marinović, Svetlana Kažić, Ivanka Prelević, Viktor Pavićević, Milka Mićković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); </w:t>
            </w:r>
            <w:r w:rsidR="00922B1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obavezni zdravstveni pregledi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922B1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zaposlenih 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na osnovu Akta o procjeni rizika na radnom mjestu; </w:t>
            </w:r>
            <w:r w:rsidR="00922B1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kontinuirana komunikacija </w:t>
            </w:r>
            <w:r w:rsidR="00324F8F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s </w:t>
            </w:r>
            <w:r w:rsidR="00922B1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advokatom – punomoćnikom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u vezi 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</w:t>
            </w:r>
            <w:r w:rsidR="00324F8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četiri spora koj</w:t>
            </w:r>
            <w:r w:rsidR="0084455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CNP </w:t>
            </w:r>
            <w:r w:rsidR="00324F8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vod</w:t>
            </w:r>
            <w:r w:rsidR="00A9340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</w:t>
            </w:r>
            <w:r w:rsidR="00324F8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(predmeti: Željko Sošić, Aleksandar Radulović, Ivana Pejović i spor oko parcele, odnosno zemljišta na kojem se nalazi zgrada CNP) i </w:t>
            </w:r>
            <w:r w:rsidR="00922B1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neophodna kontinuirana saradnja s Ministarstvom unutrašnjih poslova</w:t>
            </w:r>
            <w:r w:rsidR="00922B1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povodom organizovanja unutrašnje službe zaštite; </w:t>
            </w:r>
          </w:p>
          <w:p w14:paraId="2E994151" w14:textId="0EE0541A" w:rsidR="00A61D0C" w:rsidRPr="007434F2" w:rsidRDefault="00DD55E1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Izvršen</w:t>
            </w:r>
            <w:r w:rsidR="00A61D0C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je</w:t>
            </w:r>
            <w:r w:rsidR="00A61D0C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inspekcijski nadzor nad postupcima u oblasti javnih nabavki </w:t>
            </w:r>
            <w:r w:rsidR="00A61D0C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 period 2019-2023. godina, po osnovu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anonimne</w:t>
            </w:r>
            <w:r w:rsidR="00A61D0C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inicijative i tim povodom je zapisnički konstatovano da su sve procedure i izvještaji sprovedeni u skladu sa Zakonom o javnim nabavkama i u propisanim rokovima; </w:t>
            </w:r>
          </w:p>
          <w:p w14:paraId="486B9E76" w14:textId="4F0725E9" w:rsidR="004D15F3" w:rsidRPr="007434F2" w:rsidRDefault="00A62AA0" w:rsidP="00096A40">
            <w:pPr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menova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je</w:t>
            </w:r>
            <w:r w:rsidR="004D15F3"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Komisij</w:t>
            </w:r>
            <w:r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="004D15F3"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za dodjelu jednokratnih pomoći zaposlenima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 strane Savjeta</w:t>
            </w:r>
            <w:r w:rsidRPr="007434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(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Odluka br</w:t>
            </w:r>
            <w:r w:rsidR="00E135D1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2873/3 od 23.06.2023. godine)</w:t>
            </w:r>
            <w:r w:rsidR="004D15F3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na osnovu 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Granskog kolektivnog ugovora za oblast kulture i Pravilnika o uslovima ostvarivanja prava i načinu isplate jednokratne pomoći za zaposlene. Komisija je zasijedala kvartalno</w:t>
            </w:r>
            <w:r w:rsidR="00CB11BC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a na sjednicama je razmatrala 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 </w:t>
            </w:r>
            <w:r w:rsidR="00CB11BC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odobrila 19 p</w:t>
            </w:r>
            <w:r w:rsidR="004D15F3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odnijetih zahtjeva</w:t>
            </w:r>
            <w:r w:rsidR="00CB11BC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63AAED22" w14:textId="413D3B6A" w:rsidR="004D15F3" w:rsidRPr="007434F2" w:rsidRDefault="004D15F3" w:rsidP="00096A40">
            <w:pPr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Izvještaj o sprovođenju Plana integriteta CNP za 2022. godinu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A62A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blagovremeno je pripremljen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 dostavljen Agenciji za sprječavanje korupcije</w:t>
            </w:r>
            <w:r w:rsidR="00DD55E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(u daljem tekstu: ASK), kojoj su takođe u zakonskom roku za 2023. godinu dostavljeni i izvodi iz evidencija poklona, sponzorstava i donacija</w:t>
            </w:r>
            <w:r w:rsidR="00A62A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438B1D47" w14:textId="1F764245" w:rsidR="00434E79" w:rsidRPr="007434F2" w:rsidRDefault="00434E79" w:rsidP="00096A40">
            <w:pPr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lastRenderedPageBreak/>
              <w:t>Nastavljeno je sa</w:t>
            </w: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stručnim obukama zaposlenih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(III Regionalna konferencija „Javne nabavke primjena u praksi“, oktobar 2023. u Petrovcu), koju je pohađala službenica za javne nabavke;</w:t>
            </w: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2E7944A3" w14:textId="23216D78" w:rsidR="00434E79" w:rsidRPr="007434F2" w:rsidRDefault="00434E79" w:rsidP="00096A40">
            <w:pPr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CNP se uključi</w:t>
            </w:r>
            <w:r w:rsidR="00C2722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l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o u 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Program stručnog osposobljavanj</w:t>
            </w:r>
            <w:r w:rsidR="00C27228"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a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po tom osnovu je </w:t>
            </w:r>
            <w:r w:rsidR="00C2722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pet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pripravnika uspješno završilo rad tokom 2022-2023. godine, a istovremeno je proces nastavljen prijemom novih </w:t>
            </w:r>
            <w:r w:rsidR="00C2722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korisnika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u 2023-2024. godini u </w:t>
            </w:r>
            <w:r w:rsidR="00C2722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umjetničkom i finansijskom sektoru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; </w:t>
            </w:r>
          </w:p>
          <w:p w14:paraId="737F4F01" w14:textId="6D5756CA" w:rsidR="000B2AAC" w:rsidRPr="007434F2" w:rsidRDefault="000B2AAC" w:rsidP="00096A40">
            <w:pPr>
              <w:numPr>
                <w:ilvl w:val="0"/>
                <w:numId w:val="12"/>
              </w:numPr>
              <w:tabs>
                <w:tab w:val="left" w:pos="0"/>
              </w:tabs>
              <w:snapToGrid w:val="0"/>
              <w:spacing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Nastavljena je kontinuirana i konstruktivna saradnja s reprezentativnim 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sindikalnim organizacijama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CN</w:t>
            </w:r>
            <w:r w:rsidR="00FD6C54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Sindikatom kulture Crne Gore putem raznih vidova pomoći zaposlenima</w:t>
            </w:r>
            <w:r w:rsidR="00C27228"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uplatom</w:t>
            </w:r>
            <w:r w:rsidR="00FD6C5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sredstava za stambeni fond; </w:t>
            </w:r>
          </w:p>
          <w:p w14:paraId="2F580A25" w14:textId="3F029EA3" w:rsidR="00DA1C62" w:rsidRPr="007434F2" w:rsidRDefault="00434E79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u w:val="none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I</w:t>
            </w:r>
            <w:r w:rsidR="00A62AA0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zvještavanj</w:t>
            </w: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a</w:t>
            </w:r>
            <w:r w:rsidR="00A62AA0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u izbornoj kampanji </w:t>
            </w:r>
            <w:r w:rsidR="00A62AA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uredno su izvršavan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</w:t>
            </w:r>
            <w:r w:rsidR="00A62AA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 svi neophodni podaci (</w:t>
            </w:r>
            <w:r w:rsidR="0044194F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analitičke kartice, putni nalozi, </w:t>
            </w:r>
            <w:r w:rsidR="00A62AA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ugovori o djelu, ugovori o dopunskom radu, autorski ugovori, dokumentacija koja se odnosi na novozaposlene), shodno </w:t>
            </w:r>
            <w:r w:rsidR="00A62AA0" w:rsidRPr="007434F2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u w:val="none"/>
                <w:lang w:val="sr-Latn-ME"/>
              </w:rPr>
              <w:t xml:space="preserve">Zakonu o finansiranju političkih subjekata i izbornih kampanja, dostavljani su </w:t>
            </w:r>
            <w:r w:rsidR="00C2722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ASK i Skupštini Crne Gore</w:t>
            </w:r>
            <w:r w:rsidR="00DA1C62" w:rsidRPr="007434F2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sr-Latn-ME"/>
              </w:rPr>
              <w:t xml:space="preserve">; </w:t>
            </w:r>
          </w:p>
          <w:p w14:paraId="5F89EA48" w14:textId="77777777" w:rsidR="00A62AA0" w:rsidRPr="007434F2" w:rsidRDefault="00A62AA0" w:rsidP="00096A40">
            <w:pPr>
              <w:pStyle w:val="ListParagraph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Svi zakonom propisani izvještaji o poslovanju </w:t>
            </w:r>
            <w:r w:rsidR="00DA1C62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CNP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blagovremeno su dostavljani na utvrđenim obrascima ministarstvima nadležnim za poslove finansija i kulture, uz interno izvještavanje za potrebe Uprave Pozorišta.</w:t>
            </w:r>
          </w:p>
          <w:p w14:paraId="6D8A6189" w14:textId="77777777" w:rsidR="000C359C" w:rsidRPr="007434F2" w:rsidRDefault="000C359C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</w:tbl>
    <w:p w14:paraId="75D66DDE" w14:textId="77777777" w:rsidR="000C359C" w:rsidRPr="007434F2" w:rsidRDefault="000C359C" w:rsidP="00096A40">
      <w:pPr>
        <w:spacing w:after="0" w:line="252" w:lineRule="auto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tbl>
      <w:tblPr>
        <w:tblStyle w:val="GridTable4-Accent4"/>
        <w:tblW w:w="9427" w:type="dxa"/>
        <w:tblLook w:val="04A0" w:firstRow="1" w:lastRow="0" w:firstColumn="1" w:lastColumn="0" w:noHBand="0" w:noVBand="1"/>
      </w:tblPr>
      <w:tblGrid>
        <w:gridCol w:w="9427"/>
      </w:tblGrid>
      <w:tr w:rsidR="00670FBD" w:rsidRPr="007434F2" w14:paraId="533B4117" w14:textId="77777777" w:rsidTr="00031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</w:tcPr>
          <w:p w14:paraId="3E41C294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</w:p>
          <w:p w14:paraId="7BD27503" w14:textId="77777777" w:rsidR="000C359C" w:rsidRPr="007434F2" w:rsidRDefault="000C359C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III UMJETNIČKA REALIZACIJA PROGRAMA</w:t>
            </w:r>
          </w:p>
          <w:p w14:paraId="53DFFEB5" w14:textId="77777777" w:rsidR="000C359C" w:rsidRPr="007434F2" w:rsidRDefault="000C359C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670FBD" w:rsidRPr="007434F2" w14:paraId="44CC45BC" w14:textId="77777777" w:rsidTr="00031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</w:tcPr>
          <w:p w14:paraId="7534F907" w14:textId="70E8304B" w:rsidR="0067094E" w:rsidRPr="007434F2" w:rsidRDefault="0067094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Shodno svom programskom konceptu</w:t>
            </w:r>
            <w:r w:rsidR="003D53B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CNP je u 2023. godini realizova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l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o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dominantno premijerna i reprizna izvođenja pozorišnih </w:t>
            </w:r>
            <w:r w:rsidR="00703BB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predstava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="00703BB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kao 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muzičke</w:t>
            </w:r>
            <w:r w:rsidR="00703BB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filmske</w:t>
            </w:r>
            <w:r w:rsidR="003D53B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segmen</w:t>
            </w:r>
            <w:r w:rsidR="00703BB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te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izdavačke projekte i aktivnosti</w:t>
            </w:r>
            <w:r w:rsidR="003D53B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 sklopu obilježavanja jubileja – 70 godina Crnogorskog narodnog pozorišta. Repertoar CNP-a realizovan je na Velikoj sceni i na Sceni Studio.</w:t>
            </w:r>
          </w:p>
          <w:p w14:paraId="0C427DA1" w14:textId="092D2CCC" w:rsidR="0067094E" w:rsidRPr="007434F2" w:rsidRDefault="0067094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Ukupno je realizovano </w:t>
            </w:r>
            <w:r w:rsidR="00CB11BC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1</w:t>
            </w:r>
            <w:r w:rsidR="00703BBA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78</w:t>
            </w:r>
            <w:r w:rsidR="00CB11BC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programa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što 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uključuj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</w:t>
            </w:r>
            <w:r w:rsidR="00CB11B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programe izvedene na matičnoj sceni i gostovanja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(128 programa izvedenih u CNP-u, 23 gostovanja i 27 gostujućih predstava na sceni CNP).</w:t>
            </w:r>
          </w:p>
          <w:p w14:paraId="77AB8F13" w14:textId="51363417" w:rsidR="00302418" w:rsidRPr="007434F2" w:rsidRDefault="00703BBA" w:rsidP="00703BBA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T</w:t>
            </w:r>
            <w:r w:rsidR="005B59A7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ok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om 2023. godine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,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="005B59A7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CNP je imao 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32.</w:t>
            </w:r>
            <w:r w:rsidR="006C1361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95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0</w:t>
            </w:r>
            <w:r w:rsidR="005B59A7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posjetilaca</w:t>
            </w:r>
            <w:r w:rsidR="00ED2FC4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.</w:t>
            </w:r>
          </w:p>
          <w:tbl>
            <w:tblPr>
              <w:tblStyle w:val="PlainTable4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9209"/>
            </w:tblGrid>
            <w:tr w:rsidR="00670FBD" w:rsidRPr="007434F2" w14:paraId="191B3BE3" w14:textId="77777777" w:rsidTr="000312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9" w:type="dxa"/>
                </w:tcPr>
                <w:p w14:paraId="0B9CCAC2" w14:textId="77777777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</w:pPr>
                </w:p>
              </w:tc>
            </w:tr>
            <w:tr w:rsidR="00670FBD" w:rsidRPr="007434F2" w14:paraId="56C86DF7" w14:textId="77777777" w:rsidTr="000312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09" w:type="dxa"/>
                  <w:shd w:val="clear" w:color="auto" w:fill="FFFFFF" w:themeFill="background1"/>
                </w:tcPr>
                <w:p w14:paraId="4541A558" w14:textId="43DCA2AA" w:rsidR="00703BBA" w:rsidRPr="007434F2" w:rsidRDefault="00703BBA" w:rsidP="00703BBA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  <w:t>Premijere:</w:t>
                  </w:r>
                </w:p>
                <w:p w14:paraId="313FFA61" w14:textId="77777777" w:rsidR="00703BBA" w:rsidRPr="007434F2" w:rsidRDefault="00703BBA" w:rsidP="00703BBA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</w:p>
                <w:p w14:paraId="0270FE69" w14:textId="77777777" w:rsidR="00703BBA" w:rsidRPr="007434F2" w:rsidRDefault="00703BBA" w:rsidP="00703BBA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  <w:lang w:val="sr-Latn-ME"/>
                    </w:rPr>
                    <w:t>U kategoriji novih produkcija, u 2023.godini realizovano je šest (6) premijera:</w:t>
                  </w:r>
                </w:p>
                <w:p w14:paraId="71FB0026" w14:textId="77777777" w:rsidR="00703BBA" w:rsidRPr="007434F2" w:rsidRDefault="00703BBA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sr-Latn-ME"/>
                    </w:rPr>
                  </w:pPr>
                </w:p>
                <w:p w14:paraId="44D52AE9" w14:textId="2779428E" w:rsidR="00302418" w:rsidRPr="007434F2" w:rsidRDefault="00140D4F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 xml:space="preserve">- </w:t>
                  </w:r>
                  <w:r w:rsidR="00302418"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“Ujka Vanja”, Anton Pavlovič Čehov, režija Mirko Radonjić, premijera: 3. mart 2023, Velika scena;</w:t>
                  </w:r>
                </w:p>
                <w:p w14:paraId="40DC165E" w14:textId="77777777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- “Mali bračni zločini“, Erik Emanuel Šmit, režija Marija Đurić i Pavle Bogojević, premijera: 12. maj 2023, Scena Studio;</w:t>
                  </w:r>
                </w:p>
                <w:p w14:paraId="5652F94D" w14:textId="77777777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- “Nesporazum”, Alber Kami, režija Damjan Pejanović, premijera: 13. jun 2023, Velika scena;</w:t>
                  </w:r>
                </w:p>
                <w:p w14:paraId="4832E10E" w14:textId="6474E49F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- “Brod”, tekst i režija Ana Đorđević, premijera: 3. oktobar 2023, Velika scena;</w:t>
                  </w:r>
                </w:p>
                <w:p w14:paraId="62F0A702" w14:textId="77777777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- „Posjeta“, Fridrih Direnmat, režija Aleksandar Morfov, premijera: 1. novembar 2023, Velika scena;</w:t>
                  </w:r>
                </w:p>
                <w:p w14:paraId="4543D829" w14:textId="77777777" w:rsidR="00302418" w:rsidRPr="007434F2" w:rsidRDefault="00302418" w:rsidP="00096A40">
                  <w:pPr>
                    <w:pStyle w:val="NoSpacing"/>
                    <w:spacing w:line="252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</w:pPr>
                  <w:r w:rsidRPr="007434F2">
                    <w:rPr>
                      <w:rFonts w:ascii="Times New Roman" w:hAnsi="Times New Roman" w:cs="Times New Roman"/>
                      <w:b w:val="0"/>
                      <w:bCs w:val="0"/>
                      <w:noProof/>
                      <w:sz w:val="24"/>
                      <w:szCs w:val="24"/>
                      <w:lang w:val="sr-Latn-ME"/>
                    </w:rPr>
                    <w:t>- „671-Lov“, tekst i režija Hana Rastoder, premijera: 26. decembar 2023, Scena Studio.</w:t>
                  </w:r>
                </w:p>
              </w:tc>
            </w:tr>
          </w:tbl>
          <w:p w14:paraId="622F8B19" w14:textId="77777777" w:rsidR="00CB11BC" w:rsidRPr="007434F2" w:rsidRDefault="00CB11BC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54F82D46" w14:textId="432678D7" w:rsidR="00140D4F" w:rsidRPr="007434F2" w:rsidRDefault="00140D4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lastRenderedPageBreak/>
              <w:t>Reprizna izvođenja predstava</w:t>
            </w:r>
            <w:r w:rsidR="00802306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:</w:t>
            </w:r>
          </w:p>
          <w:p w14:paraId="5205248B" w14:textId="77777777" w:rsidR="00802306" w:rsidRPr="007434F2" w:rsidRDefault="00802306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4FEDC58C" w14:textId="2A26AB32" w:rsidR="00140D4F" w:rsidRPr="007434F2" w:rsidRDefault="00802306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Osim premijera</w:t>
            </w:r>
            <w:r w:rsidR="00140D4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repertoar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su</w:t>
            </w:r>
            <w:r w:rsidR="00140D4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u 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izvještajnom periodu </w:t>
            </w:r>
            <w:r w:rsidR="00140D4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činila i rep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rizna</w:t>
            </w:r>
            <w:r w:rsidR="00140D4F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izvođenje predstava na Velikoj sceni i Sceni Studio, i to:</w:t>
            </w:r>
          </w:p>
          <w:p w14:paraId="0E61047A" w14:textId="77777777" w:rsidR="005759A0" w:rsidRPr="007434F2" w:rsidRDefault="005759A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6FC07402" w14:textId="7EB4EF80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“Šćeri moja”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Maja Todorović, 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adaptacija i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režija Ana Vukotić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452F5CFF" w14:textId="1DF2CAEE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“Policajci”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Slavomir Mrožek, režija Aleksandar Jovanović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450F8E9C" w14:textId="065FD751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“Bladi mun”, tekst i režija Ana Đorđević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00DEC6B3" w14:textId="51977E33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“The beauty queen”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Martin Makdona, režija Ana Vukotić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7D797433" w14:textId="3BD13A8D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“Očevi su grad(ili)”, autorski projekat Borisa Liješevića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376BCB0E" w14:textId="64C00CC3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“Omladina bez boga”, Eden fon Horvat, režija Tara Manić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3D59A723" w14:textId="36B67101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„Proces“, Alber Kami, režija Dušanka Belada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336DB565" w14:textId="4F20BC1A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„Jerma“, Sajmon Stoun, režija Ana Tomović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12D4A8B4" w14:textId="35DD0B49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„Djeca sunca“, Maksim Gorki, režija Jovana Tomić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0358C009" w14:textId="7C06C130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„Pokojnik“, Branislav Nušić, režija Egon Savin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7ECBC70C" w14:textId="2A2E4E31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“Zlostavljanje”, Ivo Andrić, režija Jovana Todorović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6AA016E3" w14:textId="16FF16D0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“Soulfood”, autorski projekat 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glumca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Slavka Kalezića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</w:p>
          <w:p w14:paraId="322D6D7A" w14:textId="77777777" w:rsidR="00802306" w:rsidRPr="007434F2" w:rsidRDefault="00802306" w:rsidP="00802306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42E863A9" w14:textId="13CDC2A8" w:rsidR="00140D4F" w:rsidRPr="007434F2" w:rsidRDefault="00140D4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Učešće na festivalima i nagrade</w:t>
            </w:r>
            <w:r w:rsidR="00802306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:</w:t>
            </w:r>
          </w:p>
          <w:p w14:paraId="49A22222" w14:textId="77777777" w:rsidR="00802306" w:rsidRPr="007434F2" w:rsidRDefault="00802306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</w:p>
          <w:p w14:paraId="1B738959" w14:textId="30727A8B" w:rsidR="00140D4F" w:rsidRPr="007434F2" w:rsidRDefault="00140D4F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CNP je gostovalo na 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šest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6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) 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manifestacija i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festivala, na kojima je osvoj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eno sedam</w:t>
            </w:r>
            <w:r w:rsidR="00DD0D3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(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7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) nagrada</w:t>
            </w:r>
            <w:r w:rsidR="00802306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:</w:t>
            </w:r>
          </w:p>
          <w:p w14:paraId="51D0BBD7" w14:textId="77777777" w:rsidR="00D21F81" w:rsidRPr="007434F2" w:rsidRDefault="00D21F81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</w:p>
          <w:p w14:paraId="3A68D9E6" w14:textId="7A061F56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25. Teatar fest  „Petar Kočić“ u Banja</w:t>
            </w:r>
            <w:r w:rsidR="00802306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L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uci – </w:t>
            </w:r>
            <w:r w:rsidR="005759A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predstava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„Pokojnik“, a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Nagradu za najboljeg glumca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dobio je Marko Baćović;</w:t>
            </w:r>
          </w:p>
          <w:p w14:paraId="2AF3F839" w14:textId="30435D4E" w:rsidR="00140D4F" w:rsidRPr="007434F2" w:rsidRDefault="00140D4F" w:rsidP="00D21F81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49. Dani komedije u Jagodini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predstava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“Bladi mun”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Nagradu za najboljeg mladog glumca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dobio je Stevan Vuković;</w:t>
            </w:r>
          </w:p>
          <w:p w14:paraId="6C865BA6" w14:textId="22F97D50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68. Sterijino pozorje Novi Sad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predstava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“Pokojnik”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7976F14D" w14:textId="2B795C29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4. Festival drame i pozorišta „Teatar na raskršću“ u Nišu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predstava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„Pokojnik“,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a 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Nagrad</w:t>
            </w:r>
            <w:r w:rsidR="005759A0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u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za najbolju scenografiju 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dobila je 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Vesna Popović za </w:t>
            </w:r>
            <w:r w:rsidR="005759A0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istoimenu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63141CDE" w14:textId="128158AD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28. Jugoslovenski pozorišni festival „Bez prevoda“ Užice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predstava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„Nesporazum“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dok je 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Nagrad</w:t>
            </w:r>
            <w:r w:rsidR="00D21F8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a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Ardalion za najbolju scenografiju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pripala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Ivank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Van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 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Prelević za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istoimenu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predstavu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;</w:t>
            </w:r>
          </w:p>
          <w:p w14:paraId="15A46145" w14:textId="6D764B91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38. Festival internacionalnog alternativnog teatra (FIAT)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predstave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„Ujka Vanja“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„Nesporazum“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. 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Nagrad</w:t>
            </w:r>
            <w:r w:rsidR="00D21F8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u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za najbolju režiju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„Slobodan Milatović“ 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dobio je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Damjan Pejanović za predstavu „Nesporazum“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a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Nagrad</w:t>
            </w:r>
            <w:r w:rsidR="00D21F8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u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 xml:space="preserve"> za najbolju mušku ulogu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Ivan Bezmarević za predstavu „Ujka Vanja“;</w:t>
            </w:r>
          </w:p>
          <w:p w14:paraId="018CC9C5" w14:textId="0BA4F584" w:rsidR="00D21F81" w:rsidRPr="007434F2" w:rsidRDefault="00140D4F" w:rsidP="00D21F81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Internacionalni monodrama festival Bitolj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predstava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„Soulfood“;</w:t>
            </w:r>
          </w:p>
          <w:p w14:paraId="19A2470F" w14:textId="0E85402F" w:rsidR="00D21F81" w:rsidRPr="007434F2" w:rsidRDefault="00D21F81" w:rsidP="00D21F81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Naši dani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– Beogradsko dramsko pozorište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– predstave „Pokojnik“, „Šćeri moja“ i “Bladi mun”;</w:t>
            </w:r>
          </w:p>
          <w:p w14:paraId="16B210C8" w14:textId="4225E1D7" w:rsidR="00140D4F" w:rsidRPr="007434F2" w:rsidRDefault="00140D4F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21.Internacionalni festival „Evropski glumac“ u Prespi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(Sjeverna Makedonija) –„Potonja ura Njegoševa“ po tekstu Slobodana Tomovića, u režiji Blagote Erakovića.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Slobodan Marunović dobi</w:t>
            </w:r>
            <w:r w:rsidR="00DD0D3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="00B61A1B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nagradu Glumac Evrope</w:t>
            </w:r>
            <w:r w:rsidR="00B61A1B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za 2023.godinu.</w:t>
            </w:r>
          </w:p>
          <w:p w14:paraId="71E54097" w14:textId="77777777" w:rsidR="00D21F81" w:rsidRPr="007434F2" w:rsidRDefault="00D21F81" w:rsidP="00D21F81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2D53F7B7" w14:textId="77777777" w:rsidR="00D21F81" w:rsidRPr="007434F2" w:rsidRDefault="00D21F81" w:rsidP="00D21F81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4BC364E0" w14:textId="77777777" w:rsidR="00D21F81" w:rsidRPr="007434F2" w:rsidRDefault="00D21F81" w:rsidP="00D21F81">
            <w:pPr>
              <w:pStyle w:val="ListParagraph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0A8D29ED" w14:textId="526B87E4" w:rsidR="00B61A1B" w:rsidRPr="007434F2" w:rsidRDefault="00DD0D3D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lastRenderedPageBreak/>
              <w:t>Gostovanja</w:t>
            </w:r>
            <w:r w:rsidR="00D21F81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:</w:t>
            </w:r>
          </w:p>
          <w:p w14:paraId="4B3DBE83" w14:textId="77777777" w:rsidR="00D21F81" w:rsidRPr="007434F2" w:rsidRDefault="00D21F81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</w:p>
          <w:p w14:paraId="3CF90D68" w14:textId="77777777" w:rsidR="00DD0D3D" w:rsidRPr="007434F2" w:rsidRDefault="00DD0D3D" w:rsidP="00096A40">
            <w:p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CNP-u su gostovala sljedeća pozorišta, teatarske grupe i ansambli:</w:t>
            </w:r>
          </w:p>
          <w:p w14:paraId="3405F4F6" w14:textId="77777777" w:rsidR="00D21F81" w:rsidRPr="007434F2" w:rsidRDefault="00D21F81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39843549" w14:textId="06505841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Kraljevsko pozorište 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Zetski dom</w:t>
            </w:r>
            <w:r w:rsidR="00D21F81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:  “Obožavateljka”, Mate Matišić, režija Ana Vukotić i “Predsjednice”, Verner Švab, režija Radmila Vojvodić;</w:t>
            </w:r>
          </w:p>
          <w:p w14:paraId="1FFCF794" w14:textId="77777777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Nikšićko pozorište -  “Kralj magnovenja”, autor Nikola Vasiljević;</w:t>
            </w:r>
          </w:p>
          <w:p w14:paraId="46B2BC3C" w14:textId="77777777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Ulcinjsko pozorište „Teuta“ – „Ne dolaze svi lopovi za zlo“, Dario Fo, režija Edina Mustafić;</w:t>
            </w:r>
          </w:p>
          <w:p w14:paraId="51EC30F9" w14:textId="5356608C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Narodno pozorište Beograd: „Nora – lutkina kuća“, Henrik Ibzen, režija Tanja Man</w:t>
            </w:r>
            <w:r w:rsidR="00364C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ić Rigonat i baletski triptih „Infinitas“;</w:t>
            </w:r>
          </w:p>
          <w:p w14:paraId="6D1F9EDD" w14:textId="77777777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BeoArt: „Čovjek visine“, Ana Đorđević, režija Jana Maričić; „Lutka sa kreveta br. 21“ Đorđe Lebović, režija Slobodan Barnković;</w:t>
            </w:r>
          </w:p>
          <w:p w14:paraId="711E7F64" w14:textId="77777777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Beogradsko dramsko pozorište: „Let iznad kukavičjeg gnezda“, Ken Kizi, režija Žanko Tomić; „Čitač“, Bernard Šlink, režija Boris Liješević; „Zaljubljeni Šekspir“, Li Hol, režija Ana Tomović;</w:t>
            </w:r>
          </w:p>
          <w:p w14:paraId="3A0A09F4" w14:textId="5AFD3E6D" w:rsidR="00DD0D3D" w:rsidRPr="007434F2" w:rsidRDefault="00DD0D3D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Narodno pozorište „Toša Jovanović“ Zrenjanin: „Don Žuan“, Molijer, režija I</w:t>
            </w:r>
            <w:r w:rsidR="00364C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g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or Vuk Torbica; </w:t>
            </w:r>
          </w:p>
          <w:p w14:paraId="5D22E209" w14:textId="51DE3C35" w:rsidR="00364CE8" w:rsidRPr="007434F2" w:rsidRDefault="00DD0D3D" w:rsidP="00364CE8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Makedonski narodni teatar Skoplje: „Narodni neprijatelj“, Henrik Ibzen, režija Nina Nikoli</w:t>
            </w:r>
            <w:r w:rsidR="00364C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ć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</w:p>
          <w:p w14:paraId="00527605" w14:textId="3FBA7414" w:rsidR="00DD0D3D" w:rsidRPr="007434F2" w:rsidRDefault="00DD0D3D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okviru kontinuiranih gostovanja i disperzije programa produkcije CNP imala je priliku da vidi publika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Kraljevskom pozorištu 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„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Zetski dom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“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na Cetinju, Centru za kulturu Tivat, Centru za kulturu Berane, Centru za kuturu Danilovgrad, Centru za kulturu Bar, ali i Narodnom pozorištu „Toša Jovanović“ u Zrenjaninu.</w:t>
            </w:r>
          </w:p>
          <w:p w14:paraId="2F314872" w14:textId="77777777" w:rsidR="00DA29BE" w:rsidRPr="007434F2" w:rsidRDefault="00DA29BE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  <w:p w14:paraId="18A1CAAA" w14:textId="4050B07E" w:rsidR="00B61A1B" w:rsidRPr="007434F2" w:rsidRDefault="0011172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Komplementarne djelatnosti</w:t>
            </w:r>
            <w:r w:rsidR="00364CE8" w:rsidRPr="007434F2"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  <w:t>:</w:t>
            </w:r>
          </w:p>
          <w:p w14:paraId="0B8F6508" w14:textId="77777777" w:rsidR="00364CE8" w:rsidRPr="007434F2" w:rsidRDefault="00364CE8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</w:p>
          <w:p w14:paraId="254C9A1F" w14:textId="335B57C2" w:rsidR="00DD0D3D" w:rsidRPr="007434F2" w:rsidRDefault="00111720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 oblasti komplementarnih djelatnosti CNP je realizovao značajan broj izdavački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h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 muzičko-scenskih, filmskih i drugih pratećih programa</w:t>
            </w:r>
            <w:r w:rsidR="00364CE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 to: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4314A709" w14:textId="3A014B05" w:rsidR="00111720" w:rsidRPr="007434F2" w:rsidRDefault="00111720" w:rsidP="00096A40">
            <w:pPr>
              <w:pStyle w:val="ListParagraph"/>
              <w:numPr>
                <w:ilvl w:val="0"/>
                <w:numId w:val="21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Povodom obilježavanja jubileja 70 godina Crnogorskog narodnog pozorišta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</w:t>
            </w:r>
            <w:r w:rsidR="00364CE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okviru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izdavačke djelatnosti objavljena su dva izdanja: </w:t>
            </w:r>
          </w:p>
          <w:p w14:paraId="0A58DDD0" w14:textId="68EE0611" w:rsidR="00111720" w:rsidRPr="007434F2" w:rsidRDefault="00111720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Monografija „Crnogorsko narodno pozorište 1953-2023“</w:t>
            </w:r>
            <w:r w:rsidR="00364CE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(samostalno);</w:t>
            </w:r>
          </w:p>
          <w:p w14:paraId="0E422A5D" w14:textId="4D6DA19B" w:rsidR="00111720" w:rsidRPr="007434F2" w:rsidRDefault="00111720" w:rsidP="00096A40">
            <w:pPr>
              <w:pStyle w:val="ListParagraph"/>
              <w:numPr>
                <w:ilvl w:val="0"/>
                <w:numId w:val="16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Monografija Varje Đukić „San na javi – o teatru s ovog kraja svijeta“</w:t>
            </w:r>
            <w:r w:rsidR="00364CE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(u partnerstvu)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4B523156" w14:textId="2CB1697F" w:rsidR="00111720" w:rsidRPr="007434F2" w:rsidRDefault="00111720" w:rsidP="00096A40">
            <w:pPr>
              <w:pStyle w:val="ListParagraph"/>
              <w:numPr>
                <w:ilvl w:val="0"/>
                <w:numId w:val="21"/>
              </w:num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Održano je 10 muzičkih i muzičko</w:t>
            </w:r>
            <w:r w:rsidR="00364CE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-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scenskih programa i koncerata renomiranih solista i ansambala:</w:t>
            </w:r>
          </w:p>
          <w:p w14:paraId="2B3B8A15" w14:textId="77777777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Koncert “Passione” - Carlos Osuna, tenor, Stephen Hopkins, pijanista;</w:t>
            </w:r>
          </w:p>
          <w:p w14:paraId="262D194D" w14:textId="2D28E7CF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„Operski gala koncert“ – Angela Nisi (sopran), Cristina Melis (mezzospran), Fabio Serani (tenor), Daniele Terenzi (bariton), Francesco Barbagelata (pijanista);</w:t>
            </w:r>
          </w:p>
          <w:p w14:paraId="2B30785D" w14:textId="3458928B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„Zimski koncert“ – Nasim Saad, violončelo, Guido D'Angelo, pijanista</w:t>
            </w:r>
            <w:r w:rsidR="00364CE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– </w:t>
            </w:r>
            <w:r w:rsidR="00364CE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umjetnici iz Milanske skale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7D865602" w14:textId="48C79859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Muzička predstava „Apolon i Dafne“, autorski projekat </w:t>
            </w:r>
            <w:r w:rsidR="00364CE8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operske umjetnice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Sare Vujošević Jovanović;</w:t>
            </w:r>
          </w:p>
          <w:p w14:paraId="259E7CD8" w14:textId="77777777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Plesna predstava „Krik“, Baletska trupa „Ballo“;</w:t>
            </w:r>
          </w:p>
          <w:p w14:paraId="4C283685" w14:textId="77777777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Balet „Krcko Oraščić“ - Baletska škola „Luj Davičo“ i „Princeza Ksenija“;</w:t>
            </w:r>
          </w:p>
          <w:p w14:paraId="3DC0742B" w14:textId="77777777" w:rsidR="007D0B5B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„Čipolino“ – Baletska škola „Princeza Ksenija“;</w:t>
            </w:r>
          </w:p>
          <w:p w14:paraId="1B356606" w14:textId="77777777" w:rsidR="007D0B5B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lastRenderedPageBreak/>
              <w:t>„Pepeljuga“ – Baletska škola „Princeza Ksenija“;</w:t>
            </w:r>
          </w:p>
          <w:p w14:paraId="6A97A3D5" w14:textId="77777777" w:rsidR="00111720" w:rsidRPr="007434F2" w:rsidRDefault="0011172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„Novogodišnja čarolija“ – Baletska trupa „Allegro“ i Umjetnička škola za muziku i balet „Vasa Pavić“.</w:t>
            </w:r>
          </w:p>
          <w:p w14:paraId="416E1195" w14:textId="77777777" w:rsidR="00364CE8" w:rsidRPr="007434F2" w:rsidRDefault="00364CE8" w:rsidP="00364CE8">
            <w:pPr>
              <w:pStyle w:val="ListParagraph"/>
              <w:spacing w:line="252" w:lineRule="auto"/>
              <w:ind w:left="1150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3FF1F5B" w14:textId="59CD8474" w:rsidR="007D0B5B" w:rsidRPr="007434F2" w:rsidRDefault="009F7B6F" w:rsidP="00096A40">
            <w:pPr>
              <w:pStyle w:val="ListParagraph"/>
              <w:numPr>
                <w:ilvl w:val="0"/>
                <w:numId w:val="21"/>
              </w:num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Iz oblasti filmskog programa, prikazano je </w:t>
            </w:r>
            <w:r w:rsidR="00364CE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pet</w:t>
            </w:r>
            <w:r w:rsidR="007D0B5B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 (</w:t>
            </w:r>
            <w:r w:rsidR="00364CE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5</w:t>
            </w:r>
            <w:r w:rsidR="007D0B5B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) </w:t>
            </w: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domaćih </w:t>
            </w:r>
            <w:r w:rsidR="00364CE8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ostvarenja</w:t>
            </w:r>
            <w:r w:rsidR="007D0B5B"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 xml:space="preserve">: </w:t>
            </w:r>
          </w:p>
          <w:p w14:paraId="4D62C78A" w14:textId="77777777" w:rsidR="007D0B5B" w:rsidRPr="007434F2" w:rsidRDefault="009D0BE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="007D0B5B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Posljednje poglavlje”, režija Nemanja Bečanović;</w:t>
            </w:r>
          </w:p>
          <w:p w14:paraId="618DDF09" w14:textId="77777777" w:rsidR="007D0B5B" w:rsidRPr="007434F2" w:rsidRDefault="009D0BE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="007D0B5B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Dječaci iz Ulice Marksa i Engelsa”, režija Nikola Vukčević;</w:t>
            </w:r>
          </w:p>
          <w:p w14:paraId="1AB2374F" w14:textId="77777777" w:rsidR="007D0B5B" w:rsidRPr="007434F2" w:rsidRDefault="007D0B5B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„Grudi“, režija Marija Perović;</w:t>
            </w:r>
          </w:p>
          <w:p w14:paraId="42009FC6" w14:textId="77777777" w:rsidR="007D0B5B" w:rsidRPr="007434F2" w:rsidRDefault="009D0BE0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="007D0B5B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As pik”, režija Draško Đurović;</w:t>
            </w:r>
          </w:p>
          <w:p w14:paraId="2CFE531C" w14:textId="22D675F5" w:rsidR="007D0B5B" w:rsidRPr="007434F2" w:rsidRDefault="007D0B5B" w:rsidP="00096A40">
            <w:pPr>
              <w:pStyle w:val="ListParagraph"/>
              <w:numPr>
                <w:ilvl w:val="0"/>
                <w:numId w:val="23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„Živko Nikolić</w:t>
            </w:r>
            <w:r w:rsidR="00703BBA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-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Nedosanjani san“</w:t>
            </w:r>
            <w:r w:rsidR="00703BBA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reditelj dokumentarnih djelova Senad Šahmanović</w:t>
            </w:r>
            <w:r w:rsidR="00703BBA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7B253575" w14:textId="77777777" w:rsidR="00DD0D3D" w:rsidRPr="007434F2" w:rsidRDefault="007D0B5B" w:rsidP="00096A40">
            <w:pPr>
              <w:pStyle w:val="ListParagraph"/>
              <w:numPr>
                <w:ilvl w:val="0"/>
                <w:numId w:val="21"/>
              </w:numPr>
              <w:spacing w:line="252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  <w:t>Realizovan je i niz pratećih programa:</w:t>
            </w:r>
          </w:p>
          <w:p w14:paraId="5D80CB6E" w14:textId="4F21FC6F" w:rsidR="009D0BE0" w:rsidRPr="007434F2" w:rsidRDefault="009D0BE0" w:rsidP="00096A40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Bilbord izložba fotografija koja je u</w:t>
            </w:r>
            <w:r w:rsidR="00703BBA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većini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crnogors</w:t>
            </w:r>
            <w:r w:rsidR="00703BBA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kih opština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prezentovala fotografije iz značajnih predstava C</w:t>
            </w:r>
            <w:r w:rsidR="00703BBA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NP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;</w:t>
            </w:r>
          </w:p>
          <w:p w14:paraId="3109139A" w14:textId="77777777" w:rsidR="009D0BE0" w:rsidRPr="007434F2" w:rsidRDefault="009D0BE0" w:rsidP="00096A40">
            <w:pPr>
              <w:pStyle w:val="ListParagraph"/>
              <w:numPr>
                <w:ilvl w:val="0"/>
                <w:numId w:val="25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Povodom Njegoševog dana – crnogorskog praznika kulture, organizovan je okrugli sto na temu „Izazovi pozorišnih interpretacija Njegoševog djela“;</w:t>
            </w:r>
          </w:p>
          <w:p w14:paraId="4441D037" w14:textId="0A1433AB" w:rsidR="009D0BE0" w:rsidRPr="007434F2" w:rsidRDefault="00703BBA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RTCG 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–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="009D0BE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Teatrovizija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:</w:t>
            </w:r>
            <w:r w:rsidR="009D0BE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Aleksandar Radunović, Stefan Bošković i Vasko Raičević;</w:t>
            </w:r>
          </w:p>
          <w:p w14:paraId="2BDD9C95" w14:textId="78A56470" w:rsidR="009D0BE0" w:rsidRPr="007434F2" w:rsidRDefault="00670FBD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RTCG: </w:t>
            </w:r>
            <w:r w:rsidR="009D0BE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Teatrovizija - Stevan Vuković, Maša Božović;</w:t>
            </w:r>
          </w:p>
          <w:p w14:paraId="6FCCC85B" w14:textId="77777777" w:rsidR="009D0BE0" w:rsidRPr="007434F2" w:rsidRDefault="009D0BE0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TEDx konferencija u saradnji sa Ministarstvom nauke i tehnološkog razvoja;</w:t>
            </w:r>
          </w:p>
          <w:p w14:paraId="1E2F4F29" w14:textId="1EF0E236" w:rsidR="009D0BE0" w:rsidRPr="007434F2" w:rsidRDefault="009D0BE0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Humanitarni koncert orkestara Vojske Crne Gore i Oružanih snaga Republike Slovenije 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Vojska Crne Gore za našu djecu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; </w:t>
            </w:r>
          </w:p>
          <w:p w14:paraId="17FC945D" w14:textId="1A22F0B6" w:rsidR="009F7B6F" w:rsidRPr="007434F2" w:rsidRDefault="009D0BE0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Style w:val="Strong"/>
                <w:rFonts w:ascii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Program </w:t>
            </w:r>
            <w:r w:rsidR="009F7B6F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="009F7B6F" w:rsidRPr="007434F2">
              <w:rPr>
                <w:rStyle w:val="Strong"/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E3E2DF"/>
                <w:lang w:val="sr-Latn-ME"/>
              </w:rPr>
              <w:t>Ljubomir Đurković u sjećanju: dramaturgija, emocija i epoha”,</w:t>
            </w:r>
          </w:p>
          <w:p w14:paraId="02D1C702" w14:textId="3DA9EA89" w:rsidR="000C359C" w:rsidRPr="007434F2" w:rsidRDefault="009D0BE0" w:rsidP="00670FBD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UNDP u Crnoj Gori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: p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redstava “Politička istorija žena Crne Gore”, režija Marija Perović</w:t>
            </w:r>
            <w:r w:rsidR="009F7B6F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</w:tc>
      </w:tr>
      <w:tr w:rsidR="00670FBD" w:rsidRPr="007434F2" w14:paraId="5B78E1AF" w14:textId="77777777" w:rsidTr="00096A4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</w:tcPr>
          <w:p w14:paraId="6B9C0501" w14:textId="77777777" w:rsidR="009D0BE0" w:rsidRPr="007434F2" w:rsidRDefault="009D0BE0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</w:tbl>
    <w:p w14:paraId="4776ED30" w14:textId="77777777" w:rsidR="000C359C" w:rsidRPr="007434F2" w:rsidRDefault="000C359C" w:rsidP="00096A40">
      <w:pPr>
        <w:spacing w:after="0" w:line="252" w:lineRule="auto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0FBD" w:rsidRPr="007434F2" w14:paraId="69B228EE" w14:textId="77777777" w:rsidTr="005C3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761285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</w:p>
          <w:p w14:paraId="24B1481E" w14:textId="77777777" w:rsidR="005C31B3" w:rsidRPr="007434F2" w:rsidRDefault="005C31B3" w:rsidP="00096A4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IV</w:t>
            </w:r>
            <w:r w:rsidR="00FD0B3E" w:rsidRPr="007434F2">
              <w:rPr>
                <w:rFonts w:ascii="Times New Roman" w:eastAsia="Calibri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DOMAĆA, REGIONALNA I MEĐUNARODNA SARADNJA</w:t>
            </w:r>
          </w:p>
          <w:p w14:paraId="40286B88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670FBD" w:rsidRPr="004D179D" w14:paraId="7170BC66" w14:textId="77777777" w:rsidTr="005C3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835EA6" w14:textId="77777777" w:rsidR="00F10634" w:rsidRPr="007434F2" w:rsidRDefault="005C31B3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Imajući u vidu činjenicu da su ravnomjeran razvoj kulture i disperzija programa propisani javni interes,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u cilju ostvarivanja svoje djelatnosti, ali i doprinosa jačanju cjelokupnog pozorišnog</w:t>
            </w:r>
            <w:r w:rsidR="00BB728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i sektora kulture, </w:t>
            </w:r>
            <w:r w:rsidR="00FD0B3E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CNP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je tokom prošle godine </w:t>
            </w:r>
            <w:r w:rsidR="008C2E07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nastavi</w:t>
            </w:r>
            <w:r w:rsidR="00BB728C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l</w:t>
            </w:r>
            <w:r w:rsidR="008C2E07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</w:t>
            </w:r>
            <w:r w:rsidR="006A38A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saradnju s institucijama i organizacijama javnog, privatnog i nezavisnog sektora u kulturi</w:t>
            </w:r>
            <w:r w:rsidR="00906DCA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.</w:t>
            </w:r>
          </w:p>
          <w:p w14:paraId="34E828E2" w14:textId="4A04DD4C" w:rsidR="00A0176C" w:rsidRPr="007434F2" w:rsidRDefault="00906DCA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</w:t>
            </w:r>
            <w:r w:rsidR="00FD0B3E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tom kontekstu CNP je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ostvarilo saradnju sa Televizijom Crne Gore, Fakultetom dramskih umjetnosti, Centrom za kulturu Tivat, Kraljevskim pozorištem 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„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Zetski dom</w:t>
            </w:r>
            <w:r w:rsidR="00670FBD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“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Nikšićkim pozorištem, Baletskom školom “Prin</w:t>
            </w:r>
            <w:r w:rsidR="00865A20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c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eza Ksenija”, Baletskom školom „Vasa Pavić“, </w:t>
            </w:r>
            <w:r w:rsidR="00A0176C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Dramskim studiom „Prazan prostor“, </w:t>
            </w: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baletskom trupom „Ballo“, baletskom trupom „Allegro“</w:t>
            </w:r>
            <w:r w:rsidR="00A0176C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 Posebno ističemo blisku saradnju sa Fakultetom dramskih umjetnosti sa Cetinja,  kome je CNP ustupilo svoje scenske prostore za realizaciju ispitnih predstava studenata FDU, a podržana je i magistarska predstava „671-Lov“, rediteljke Hane Rastoder i uvrštena u redovan repertoar C</w:t>
            </w:r>
            <w:r w:rsidR="00F10634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NP</w:t>
            </w:r>
            <w:r w:rsidR="00A0176C"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.</w:t>
            </w:r>
          </w:p>
          <w:p w14:paraId="30C9E1BE" w14:textId="19EBAA51" w:rsidR="00906DCA" w:rsidRPr="007434F2" w:rsidRDefault="00906DCA" w:rsidP="00096A40">
            <w:pPr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U 2023. godini nastavljena je saradnja sa regionalnim nacionalnim pozorištima sa kojima CNP ima potpisane Protokole o dugoročnoj saradnji koji predviđaju razmjenu predstava, učešće na pozorišnim festivalima na bazi reciprociteta, zajedničke produkcije i druge modele saradnje. </w:t>
            </w:r>
          </w:p>
          <w:p w14:paraId="2EB5043F" w14:textId="5ACCF261" w:rsidR="005C31B3" w:rsidRPr="007434F2" w:rsidRDefault="005C31B3" w:rsidP="00096A40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U </w:t>
            </w:r>
            <w:r w:rsidR="00ED2FC4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oblasti </w:t>
            </w:r>
            <w:r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međunarodne saradnje </w:t>
            </w:r>
            <w:r w:rsidR="00C62134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najznačajnij</w:t>
            </w:r>
            <w:r w:rsidR="00201086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e postignuće je t</w:t>
            </w:r>
            <w:r w:rsidR="006146E1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o što je </w:t>
            </w:r>
            <w:r w:rsidR="00F10634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CNP </w:t>
            </w:r>
            <w:r w:rsidR="00DD75DB" w:rsidRPr="007434F2">
              <w:rPr>
                <w:rStyle w:val="Emphasis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sr-Latn-ME"/>
              </w:rPr>
              <w:t>u novembru</w:t>
            </w:r>
            <w:r w:rsidR="00C62134" w:rsidRPr="007434F2">
              <w:rPr>
                <w:rStyle w:val="Emphasis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sr-Latn-ME"/>
              </w:rPr>
              <w:t xml:space="preserve"> 202</w:t>
            </w:r>
            <w:r w:rsidR="00664F0B" w:rsidRPr="007434F2">
              <w:rPr>
                <w:rStyle w:val="Emphasis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sr-Latn-ME"/>
              </w:rPr>
              <w:t>3</w:t>
            </w:r>
            <w:r w:rsidR="00C62134" w:rsidRPr="007434F2">
              <w:rPr>
                <w:rStyle w:val="Emphasis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sr-Latn-ME"/>
              </w:rPr>
              <w:t>.</w:t>
            </w:r>
            <w:r w:rsidR="006146E1" w:rsidRPr="007434F2">
              <w:rPr>
                <w:rStyle w:val="Emphasis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sr-Latn-ME"/>
              </w:rPr>
              <w:t xml:space="preserve"> </w:t>
            </w:r>
            <w:r w:rsidR="00C62134" w:rsidRPr="007434F2">
              <w:rPr>
                <w:rStyle w:val="Emphasis"/>
                <w:rFonts w:ascii="Times New Roman" w:hAnsi="Times New Roman" w:cs="Times New Roman"/>
                <w:b w:val="0"/>
                <w:i w:val="0"/>
                <w:noProof/>
                <w:sz w:val="24"/>
                <w:szCs w:val="24"/>
                <w:lang w:val="sr-Latn-ME"/>
              </w:rPr>
              <w:t>godine</w:t>
            </w:r>
            <w:r w:rsidR="00C62134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 xml:space="preserve"> postalo punopravni član </w:t>
            </w:r>
            <w:r w:rsidR="00A74CD5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Evropske teatarske konvencije </w:t>
            </w:r>
            <w:r w:rsidR="00A74CD5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>(European Theatre Convention – ETC)</w:t>
            </w:r>
            <w:r w:rsidR="00A74CD5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najveće i najznačajnije panevropske mreže vodećih javnih pozorišta, koja je osnovana </w:t>
            </w:r>
            <w:r w:rsidR="00A74CD5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lastRenderedPageBreak/>
              <w:t xml:space="preserve">1988. godine, odražavajući različitost dinamičnog kulturnog sektora na evropskom kontinentu. </w:t>
            </w:r>
            <w:r w:rsidR="00C62134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 xml:space="preserve">Odluka o prijemu, nakon kompleksne višemjesečne procedure, donijeta na sjednici Generalne skupštine mreže koja je održana u </w:t>
            </w:r>
            <w:r w:rsidR="00FA3B2C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>Temišvaru, Rumunija</w:t>
            </w:r>
            <w:r w:rsidR="00C62134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>.</w:t>
            </w:r>
            <w:r w:rsidR="00ED2FC4" w:rsidRPr="007434F2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noProof/>
                <w:sz w:val="24"/>
                <w:szCs w:val="24"/>
                <w:lang w:val="sr-Latn-ME"/>
              </w:rPr>
              <w:t xml:space="preserve"> </w:t>
            </w:r>
            <w:r w:rsidR="00A74CD5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</w:t>
            </w:r>
            <w:r w:rsidR="00DA29BE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ored</w:t>
            </w:r>
            <w:r w:rsidR="00A74CD5" w:rsidRPr="007434F2">
              <w:rPr>
                <w:rFonts w:ascii="Times New Roman" w:eastAsia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realizacije brojnih programa, benefiti članstva, između ostalog, odnose se na mogućnost učešća u umjetničkoj saradnji i umrežavanju u cilju razvoja koprodukcija i razmjene predstava, uz jačanje kadrovskih kapaciteta.</w:t>
            </w:r>
          </w:p>
        </w:tc>
      </w:tr>
    </w:tbl>
    <w:p w14:paraId="0CF89B41" w14:textId="77777777" w:rsidR="004D1CB5" w:rsidRPr="007434F2" w:rsidRDefault="004D1CB5" w:rsidP="00096A40">
      <w:pPr>
        <w:spacing w:after="0" w:line="252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0FBD" w:rsidRPr="007434F2" w14:paraId="4A23554E" w14:textId="77777777" w:rsidTr="004D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68CC61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</w:p>
          <w:p w14:paraId="27756ED2" w14:textId="77777777" w:rsidR="004D1CB5" w:rsidRPr="007434F2" w:rsidRDefault="004D1CB5" w:rsidP="00096A40">
            <w:pPr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V MARKETINŠKE I PROMOTIVNE AKTIVNOSTI</w:t>
            </w:r>
          </w:p>
          <w:p w14:paraId="5F293000" w14:textId="77777777" w:rsidR="004D1CB5" w:rsidRPr="007434F2" w:rsidRDefault="004D1CB5" w:rsidP="00096A40">
            <w:pPr>
              <w:spacing w:line="252" w:lineRule="auto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670FBD" w:rsidRPr="004D179D" w14:paraId="50ECE164" w14:textId="77777777" w:rsidTr="004D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8B8AF4" w14:textId="30C53647" w:rsidR="00F10634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Marketing i PR aktivnosti C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NP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u 2023. godini bile su usmjerene na promociju repertoara i 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drugih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programskih 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sadržaja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odnosno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novih produkcija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repriznih predstava,</w:t>
            </w:r>
            <w:r w:rsidR="00ED2FC4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ali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 na obilježavanje jubileja 70 godina rada i postojanja nacionalnog teatra. </w:t>
            </w:r>
          </w:p>
          <w:p w14:paraId="1E59CFAF" w14:textId="71B8ECBD" w:rsidR="0094760E" w:rsidRPr="007434F2" w:rsidRDefault="00B063C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Zadržan je </w:t>
            </w:r>
            <w:r w:rsidR="0094760E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kontinuitet dobre saradnje i stalne prisutnosti u svim štampanim i elektronskim medijima, kao i internet portalima. Odnosi sa medijima</w:t>
            </w:r>
            <w:r w:rsidR="006E755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="0094760E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štampanim i elektronskim, internet portalima, novinskim agencijama, ostvaruju se kroz redovno kreiranje i distribuciju svih informacija i vijesti o radu CNP-a.</w:t>
            </w:r>
          </w:p>
          <w:p w14:paraId="555DC5DF" w14:textId="77777777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CNP producira video spotove svih svojih programa, kao i gostujućih programa. Sa Radio televizijom Crne Gore postoji ugovor o saradnji, a reklamni spotovi se emituju u prime time terminu. Sva festivalska učešća i važna gostovanja CNP-a van Crne Gore prati ekipa Televizije Crne Gore.</w:t>
            </w:r>
          </w:p>
          <w:p w14:paraId="18D3B373" w14:textId="31327740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NP je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svakodnevno 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astupljeno u domaćoj javnosti u elektronskim medijima najčešće u emisijama iz kulture kolažnog  karaktera u kojima se najavljuju aktuelne predstave i događaji</w:t>
            </w:r>
            <w:r w:rsidR="006E755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ili predstavljaju glumci i umjetnici nacionalnog teatra. Programi CNP-a (premijere, gostovanja, učešće CNP-a na festivalima) posebno se tretiraju u okviru informativnog programa (centralne informativne emisije), kao i u emisijama iz kulture i umjetnosti.</w:t>
            </w:r>
          </w:p>
          <w:p w14:paraId="41247B5E" w14:textId="18C0077B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Javnost se o svim programima i aktivnostima CNP-a informisala putem redovnih konferencija za medije, štampanjem i distribucijom mjesečnih repertoara (afiša), postera, plakata i kataloga</w:t>
            </w:r>
            <w:r w:rsidR="006E7559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koji se dostavljaju širokom krugu potencijalnih korisnika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 teritoriji Podgorice (fakulteti, škole, institucije kulture, javne ustanove, turistička organizacija, aerodrom, preduzeća, hoteli, kafići itd), ali i drugih crnogorskih gradova.</w:t>
            </w:r>
          </w:p>
          <w:p w14:paraId="4A2BC123" w14:textId="3E925FEA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Važan instrument u okviru PR aktivnosti u 2023. godini bila je internet prezentacija CNP-a (web sajt www.cnp.me), i društvene mreže - Facebook i Instagram koje su imale veliku posjećenost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a kojima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CNP postiže jedan od svojih strateških ciljeva – interaktivnost i uspostavljanje neposrednije komunikacije sa najširom publikom.</w:t>
            </w:r>
          </w:p>
          <w:p w14:paraId="2A418D11" w14:textId="77777777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Krajem 2023. godine započete su aktivnosti na kreiranju viber 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zajednice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čime je dodatno unaprijeđeno prisusvo CNP-a u kod najšire javnosti.</w:t>
            </w:r>
          </w:p>
          <w:p w14:paraId="7E882C0D" w14:textId="54DB6CA8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Publici je dostupna i online platforma za rezervaciju i prodaju ulaznica (www.ulaznice.cnp.me). Osim zvaničnog sajta za prezentaciju CNP-a na internetu, koristi se i internet servis You Tube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,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gdje je kreiran poseban kanal posvećen pozorištu, na kome su </w:t>
            </w:r>
            <w:r w:rsidR="00670FB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objavljeni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reklamni spotovi predstava i muzičkih programa koji se izvode u CNP-u. </w:t>
            </w:r>
          </w:p>
          <w:p w14:paraId="5E7D79FF" w14:textId="6724AD4D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Najveće interesovanje medija i publike u 2023. godini</w:t>
            </w:r>
            <w:r w:rsidR="009C4838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vladalo je za premijerne predstave, aktivnosti kojima je obilježen jubilej 70 godina postojanja CNP-a,  kao i gostujuće programe.  Posebnu pažnju medija i šire javnosti izazvala je bilbord izložba plakata, u povodu jubileja, koja je obuhvatila plakate predstava CNP-a koji su postavljeni u gradovima </w:t>
            </w:r>
            <w:r w:rsidR="00670FBD"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širom </w:t>
            </w: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>Crne Gore.</w:t>
            </w:r>
          </w:p>
          <w:p w14:paraId="2CE1B41A" w14:textId="77777777" w:rsidR="0094760E" w:rsidRPr="007434F2" w:rsidRDefault="0094760E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lastRenderedPageBreak/>
              <w:t xml:space="preserve">Tokom cijele godine u CNP-u važe popusti za đake, studente i penzionere od 50% za sve programe osim premijernih i gostujućih naslova. </w:t>
            </w:r>
          </w:p>
          <w:p w14:paraId="0F1FC59D" w14:textId="10B4F743" w:rsidR="004D1CB5" w:rsidRPr="007434F2" w:rsidRDefault="0094760E" w:rsidP="00DA29BE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Marketinške i PR aktivnosti u 2023. godini doprinijele su, ne samo potpunom i blagovremenom informisanju i animiranju publike, već i održavanju pozitivnog imidža i reputacije koju CNP ima u javnosti.  </w:t>
            </w:r>
          </w:p>
        </w:tc>
      </w:tr>
    </w:tbl>
    <w:p w14:paraId="2A8F8C80" w14:textId="77777777" w:rsidR="00315F7E" w:rsidRPr="007434F2" w:rsidRDefault="00315F7E" w:rsidP="00096A40">
      <w:pPr>
        <w:spacing w:after="0" w:line="252" w:lineRule="auto"/>
        <w:ind w:firstLine="720"/>
        <w:jc w:val="both"/>
        <w:rPr>
          <w:rFonts w:ascii="Times New Roman" w:hAnsi="Times New Roman" w:cs="Times New Roman"/>
          <w:strike/>
          <w:noProof/>
          <w:color w:val="FFFFFF" w:themeColor="background1"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CB5" w:rsidRPr="007434F2" w14:paraId="58B6E1F6" w14:textId="77777777" w:rsidTr="004D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00DD5CD" w14:textId="77777777" w:rsidR="00A02525" w:rsidRPr="007434F2" w:rsidRDefault="00A02525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  <w:p w14:paraId="0DD0085F" w14:textId="3249BF14" w:rsidR="004D1CB5" w:rsidRPr="007434F2" w:rsidRDefault="004D1CB5" w:rsidP="00096A40">
            <w:pPr>
              <w:pStyle w:val="NoSpacing"/>
              <w:spacing w:line="252" w:lineRule="auto"/>
              <w:jc w:val="center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V</w:t>
            </w:r>
            <w:r w:rsidR="00096A40"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PROSTORNI I TEHNIČKI KAPACITETI</w:t>
            </w:r>
          </w:p>
          <w:p w14:paraId="00DDD166" w14:textId="77777777" w:rsidR="004D1CB5" w:rsidRPr="007434F2" w:rsidRDefault="004D1CB5" w:rsidP="00096A40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  <w:tr w:rsidR="004D1CB5" w:rsidRPr="004D179D" w14:paraId="7788C66C" w14:textId="77777777" w:rsidTr="004D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2D2D9D5" w14:textId="77777777" w:rsidR="004D1CB5" w:rsidRPr="007434F2" w:rsidRDefault="00D56446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Poslovi Tehničkog sektora odnose se na stvaranje dobrih uslova za kvalitetnu realizaciju programskih sadržaja na matičnoj sceni, ali i na gostovanjima.</w:t>
            </w:r>
          </w:p>
          <w:p w14:paraId="0F70D59C" w14:textId="6A423306" w:rsidR="00D56446" w:rsidRPr="007434F2" w:rsidRDefault="00D56446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Pored izrade scenografije za premijerne predstave, u ovom izvještajnom  periodu realizovano je i niz investicionih </w:t>
            </w:r>
            <w:r w:rsidR="00BB3A4B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i tekućih </w:t>
            </w:r>
            <w:r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aktivnosti </w:t>
            </w:r>
            <w:r w:rsidR="00B455A4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na objektu CNP</w:t>
            </w:r>
            <w:r w:rsidR="00F810DC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>, od kojih izdvajamo</w:t>
            </w:r>
            <w:r w:rsidR="00B455A4" w:rsidRPr="007434F2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val="sr-Latn-ME"/>
              </w:rPr>
              <w:t xml:space="preserve">: </w:t>
            </w:r>
          </w:p>
          <w:p w14:paraId="7326576F" w14:textId="51024B97" w:rsidR="00B455A4" w:rsidRPr="007434F2" w:rsidRDefault="00B455A4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Sanacija 2/3 krovne površine iznad Velike sale zbog prokišnjavanja, kao i </w:t>
            </w:r>
            <w:r w:rsidR="00096A40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sanaciju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atmosferske kanalizacije i oštećenja nastalih neovlašćenim postavljanjem energetskih kablova u trafostanici;</w:t>
            </w:r>
          </w:p>
          <w:p w14:paraId="1E71A653" w14:textId="31EE3F16" w:rsidR="00B455A4" w:rsidRPr="007434F2" w:rsidRDefault="00B455A4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Adaptacija prostora za potrebe Arhiva CNP i potpuno opremanje; </w:t>
            </w:r>
          </w:p>
          <w:p w14:paraId="6F001AE8" w14:textId="7A25DCD8" w:rsidR="00F673D3" w:rsidRPr="007434F2" w:rsidRDefault="00F673D3" w:rsidP="00F673D3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Adaptacija prostora za potrebe Službe za opšte, pravne i kadrovske poslove i potpuno opremanje; </w:t>
            </w:r>
          </w:p>
          <w:p w14:paraId="6AB0F7E0" w14:textId="5AE71AE8" w:rsidR="00B455A4" w:rsidRPr="007434F2" w:rsidRDefault="00BB3A4B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Zamjena obloga Velike sale i ulaznih holova i toplih podova u dijelu garderoba;</w:t>
            </w:r>
          </w:p>
          <w:p w14:paraId="35C8BE21" w14:textId="403EC13A" w:rsidR="00BB3A4B" w:rsidRPr="007434F2" w:rsidRDefault="00BB3A4B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Zamjena visokonaponske trafostanice;</w:t>
            </w:r>
          </w:p>
          <w:p w14:paraId="68D70C19" w14:textId="23702F13" w:rsidR="00BB3A4B" w:rsidRPr="007434F2" w:rsidRDefault="00BB3A4B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Nabavka novih računara i računarske opreme </w:t>
            </w:r>
            <w:r w:rsidR="00F673D3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hodno Aktu o procjeni rizika;</w:t>
            </w:r>
          </w:p>
          <w:p w14:paraId="73023B6E" w14:textId="69132E4E" w:rsidR="00BB3A4B" w:rsidRPr="007434F2" w:rsidRDefault="00BB3A4B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Uvećani su i poboljšani prostorni kapaciteti scenske rekvizite;</w:t>
            </w:r>
          </w:p>
          <w:p w14:paraId="3B3B4F30" w14:textId="04C094A7" w:rsidR="00B56B1A" w:rsidRPr="007434F2" w:rsidRDefault="00B56B1A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Nabavljena je kontrolno upravljačka jedinica scenske rasvjete za LED i pametnu rasvjetu</w:t>
            </w:r>
            <w:r w:rsidR="00442CF7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, kao i 3D štampač i 3D skener;</w:t>
            </w:r>
          </w:p>
          <w:p w14:paraId="122CCDB4" w14:textId="21CABAE1" w:rsidR="00BB3A4B" w:rsidRPr="007434F2" w:rsidRDefault="00BB3A4B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Kontinuirano izvođenje zanatskih radova u prostoru za publiku, kancelarijama i sl;</w:t>
            </w:r>
          </w:p>
          <w:p w14:paraId="35F0181B" w14:textId="69E7B515" w:rsidR="00BB3A4B" w:rsidRPr="007434F2" w:rsidRDefault="00BB3A4B" w:rsidP="00096A40">
            <w:pPr>
              <w:pStyle w:val="ListParagraph"/>
              <w:numPr>
                <w:ilvl w:val="0"/>
                <w:numId w:val="24"/>
              </w:num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Opremanje zaposlenih HTZ opremom, a izv</w:t>
            </w:r>
            <w:r w:rsidR="00096A40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šeno je </w:t>
            </w:r>
            <w:r w:rsidR="00096A40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nekoliko inspekcijskih kontrola shodno Zakonu o zaštiti na radu, Zakonu o zaštiti imovine i lica i Zakonu o zaštiti od požara.</w:t>
            </w:r>
          </w:p>
          <w:p w14:paraId="62ADB3EE" w14:textId="1D34BD41" w:rsidR="00F072F0" w:rsidRPr="007434F2" w:rsidRDefault="00F072F0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Polazeći od kompleksnosti i značaja ovog sektora za uspješnu i kvalitetnu umjetničku produkciju, dužni smo ukazati na nekoliko problema koji opterećuju njegov rad.</w:t>
            </w:r>
          </w:p>
          <w:p w14:paraId="345E2284" w14:textId="38B24D99" w:rsidR="00CE58C7" w:rsidRPr="007434F2" w:rsidRDefault="00F072F0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Pored </w:t>
            </w:r>
            <w:r w:rsidR="00CE58C7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dotrajalosti fasadnih i kr</w:t>
            </w:r>
            <w:r w:rsidR="00096A40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o</w:t>
            </w:r>
            <w:r w:rsidR="00CE58C7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vnih površina, zastarjelosti scenske tehnike i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izraženog nedostatka </w:t>
            </w:r>
            <w:r w:rsidR="00CE58C7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mladog i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stručnog kadra</w:t>
            </w:r>
            <w:r w:rsidR="00CE58C7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iz domena scensko-tehničke produkcije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, koje je posebno kritično u odjeljenjima tona, SKS i elektroodržavanja, onemogućena je funkcionalnost objekta u punom kapacitetu zbog </w:t>
            </w:r>
            <w:r w:rsidR="00485AE5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tereta i svojinskih ograničenja evidentiranih posjedovnim listom na parceli i samoj zgradi CNP. Time su znatno limitirane važne aktivnosti CNP iz primarne djelatnosti, koje se odnose na pristup objektu, ali i na njegovo održavanje i bezbjednu eksploataciju.</w:t>
            </w:r>
            <w:r w:rsidR="00485AE5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 </w:t>
            </w:r>
          </w:p>
          <w:p w14:paraId="49DD01AF" w14:textId="0CD55C8F" w:rsidR="00CE58C7" w:rsidRPr="007434F2" w:rsidRDefault="00CE58C7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Iz tih razloga ovaj dugogodišnji problem treba da bude pod posebnom pažnjom u narednom periodu.</w:t>
            </w:r>
            <w:r w:rsidR="00485AE5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 </w:t>
            </w:r>
          </w:p>
          <w:p w14:paraId="70DA0899" w14:textId="3430D904" w:rsidR="00D56446" w:rsidRPr="007434F2" w:rsidRDefault="00CE58C7" w:rsidP="00096A4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Takođe, neophodno je nastaviti sa građevinsko zanatskim radovima u gard</w:t>
            </w:r>
            <w:r w:rsidR="00215CDB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</w:t>
            </w:r>
            <w:r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robama, kako bi se obezbijedili optimalni uslovi za rad glumaca, ali i kontinuiran rad na održavanju opreme i uspostavljenih sistema.</w:t>
            </w:r>
            <w:r w:rsidR="00485AE5" w:rsidRPr="007434F2">
              <w:rPr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75D27DB" w14:textId="77777777" w:rsidR="00842267" w:rsidRPr="007434F2" w:rsidRDefault="00842267" w:rsidP="00096A40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BC4190B" w14:textId="77777777" w:rsidR="00842267" w:rsidRPr="007434F2" w:rsidRDefault="00842267" w:rsidP="00096A40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CB5" w:rsidRPr="007434F2" w14:paraId="62B8E3E9" w14:textId="77777777" w:rsidTr="004D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B0EA0D3" w14:textId="77777777" w:rsidR="00A02525" w:rsidRPr="007434F2" w:rsidRDefault="00A02525" w:rsidP="00096A40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  <w:p w14:paraId="55BEFB05" w14:textId="22A180D7" w:rsidR="006F51D8" w:rsidRDefault="00165CC7" w:rsidP="006F51D8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VII </w:t>
            </w:r>
            <w:r w:rsidR="006F51D8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JUBILEJ – 70 GODINA RADA</w:t>
            </w:r>
            <w:r w:rsidR="00BD4821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- SVEČANI PROGRAM</w:t>
            </w:r>
            <w:r w:rsidR="006F51D8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</w:t>
            </w:r>
          </w:p>
          <w:p w14:paraId="2CAF34FC" w14:textId="590394F9" w:rsidR="00A02525" w:rsidRDefault="006F51D8" w:rsidP="006F51D8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NAGRADE I PRIZNANJA</w:t>
            </w:r>
            <w:r w:rsidR="00BD4821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 xml:space="preserve"> POVODOM DANA CNP-a</w:t>
            </w:r>
          </w:p>
          <w:p w14:paraId="1EB00B94" w14:textId="092B609C" w:rsidR="006F51D8" w:rsidRPr="007434F2" w:rsidRDefault="006F51D8" w:rsidP="006F51D8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</w:tc>
      </w:tr>
      <w:tr w:rsidR="004D1CB5" w:rsidRPr="004D179D" w14:paraId="297AEF08" w14:textId="77777777" w:rsidTr="004D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B57A24C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1. novembar – Dan Crnogorskog narodnog pozorišta obilježen je godišnjom dodjelom nagrada i priznanja, svečanim večernjim programom, kao i premijerom predstave “Posjeta”, prema Fridrihu Direnmatu u režiji Aleksandra Morfova. </w:t>
            </w:r>
          </w:p>
          <w:p w14:paraId="1BFA34D3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0A22E22E" w14:textId="57F57F92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Savjet Crnogorskog narodnog pozorišta, na prijedlog direktora Ilije Subotića i umjetničke direktorice Vesne Vujošević Labović, jednoglasno je donio odluku da u 2023. godini Veliku nagradu koja se dodjeljuje za najznačajniji  umjetnički rezultat u godini, ostvaren na sceni CNP-a ili u organizaciji CNP-a, za visok umjetnički renome i podizanje ugleda nacionalnog teatra  dodijeli ravnopravno – prvacima CNP-a Varji Đukić i Mirku Vlahoviću, za uloge ostvarene u predstavi „Posjeta“.  </w:t>
            </w:r>
          </w:p>
          <w:p w14:paraId="774BC238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Godišnju nagradu za izuzetne umjetničke rezultate u 2023. godini dobili su glumac Aleksandar Radulović, za tumačenje uloge Gradonačelnika u predstavi „Posjeta“ i ulogu Mitra Ljubiše u predstavi „Brod“, u režiji Ane Đorđević i glumica Jelena Minić, za ulogu Kate Ljubiše u predstavi „Brod“ i Gđice Birstner, pralje, Leni, Justicije u predstavi „Proces“, rediteljke Dušanke Belade.</w:t>
            </w:r>
          </w:p>
          <w:p w14:paraId="3066D16F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 rezultate postignute u produkciji, organizacionom, administrativnom i tehničkom sektoru, Godišnje nagrade za 2023. godinu dobili su: Janja Ražnatović – producentkinja u Službi produkcije, Andrijana Muratović, producentkinja marketinga u Službi za marketing, Viktor Pavićević, savjetnik za agencijske poslove i marketing u Službi prodaje, Valentina Dragojević, računovodstvena službenica u Sektoru finansija, Vesna Vukićević, računovodstvena službenici u Sektoru finansija, Vesna Bijelić, scenska maskerka-šminkerka u Odsjeku za tehničko-scensku produkciju, Bojan Bulatović, vozač-kurir u Odsjeku za tehničko-scensku produkciju i Nemanja Dožić, zaštitar lica i imovine u Odsjeku za održavanje.</w:t>
            </w:r>
          </w:p>
          <w:p w14:paraId="737D6929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62462100" w14:textId="03AC2886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Status počasnog člana CNP-a koji stiču najistaknutiji članovi CNP-a, kao i istaknuti stvaraoci i saradnici Pozorišta za značajan rad i rezultate rada postignute u oblasti kulture, a koji su od značaja za pozorišnu djelatnost, stekli su red. prof. Radmila Vojvodić, rediteljka i Božo Koprivica, dramaturg i dramski pisac.</w:t>
            </w:r>
          </w:p>
          <w:p w14:paraId="65D3E3C4" w14:textId="3C32CB40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Status doživotnog člana CNP-a koji se dodjeljuje dramskim umjetnicima kojima je zbog penzionisanja prestao radni status u 2023. godini, stekli su Slobodan Marunović, glumac, prvak CNP-a i Goran Bulajić, dramaturg i reditelj.</w:t>
            </w:r>
          </w:p>
          <w:p w14:paraId="29E882FA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0CD5C94C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Zahvalnica CNP-a koja se dodjeljuje pojedincima ili pravnim licima koji su svojim saradničkim angažmanom doprinijeli afirmaciji CNP-a, dodijeljena je Aleksandru Morfovu, reditelju predstave „Posjeta“ i Nacionalnom javnom servisu Radio i Televizija Crne Gore (Radio Crne Gore, Televizija Crne Gore i Portal rtcg.me), za izuzetan doprinos medijskoj prezentaciji i promociji našeg rada putem sva tri medija, a od značaja za ostvarivanje javnog interesa u oblasti kulture i pozorišne djelatnosti.</w:t>
            </w:r>
          </w:p>
          <w:p w14:paraId="00981C17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7C68D825" w14:textId="4C5035F5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lastRenderedPageBreak/>
              <w:t xml:space="preserve">Stipendiju „Velibor – Bucko Radonjić“, koja se dodjeljuje pojedincu za izuzetne rezultate iz oblasti pozorišne scenografije, kostimografije i likovne umjetnosti, u 2023. godini dobila je Mia Đurović, kostimografkinja iz Podgorice. </w:t>
            </w:r>
          </w:p>
          <w:p w14:paraId="5D39037E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Takođe, CNP je iskazalo zahvalnost i ukazalo pažnju kolegama koji su svoj radni vijek vezali za CNP i u proteklom periodu otišli u penziju nakon decenija rada u našoj kući. To su: Milodarka Radulović, Radmila Jović, Mirjana Vuković, Dragica Filipović, Momir Malović, Miomir Ivanović, Milorad Pajović, Milena Novaković, Slobodan Marunović, Biserka Vukčević, Čedo Novaković, Goran Bulajić i Marko Baćović.</w:t>
            </w:r>
          </w:p>
          <w:p w14:paraId="6F47E2F2" w14:textId="77777777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</w:p>
          <w:p w14:paraId="57CFFF4F" w14:textId="5ECBD250" w:rsidR="0094052B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Svečani večernji program otpočeo je izvođenjem himne Crne Gore u interpretaciji operske umjetnice Sare Vujošević-Jovanović, a potom i obraćanjem Ilije Subotića, direktora CNP-a i Milene Mijović-Durutović, generalne direktorke Direktorata za kulturno-umjetničko stvaralaštvo Ministarstva kulture i medija, nakon čega je premijerno izvedena predstava "Posjeta". Prva premijera u osmoj deceniji rada CNP-a naišla je na odlične reakcije publike, koja je ansambl i autorski tim pozdravila višeminutnim aplauzom.</w:t>
            </w:r>
          </w:p>
          <w:p w14:paraId="6E9A1DED" w14:textId="61824CDE" w:rsidR="00D12C8A" w:rsidRPr="006C268E" w:rsidRDefault="0094052B" w:rsidP="0094052B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6C268E"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Svečanosti su prisustvovali Predsjednik Crne Gore Jakov Milatović, bivši Predsjednik Crne Gore Filip Vujanović, aktuelna i dotadašnja ministarka kulture i medija Tamara Vujović i Maša Vlaović, načelnik Generalštaba Vojske Crne Gore brigadni general Zoran Lazarević, predstavnici državnih organa, nacionalnih i opštinskih ustanova kulture, diplomatskog kora, ugledni umjetnici i stvaraoci iz Crne Gore i regiona, zvanice iz javnog života, kao i veliki broj medija.</w:t>
            </w:r>
          </w:p>
        </w:tc>
      </w:tr>
    </w:tbl>
    <w:p w14:paraId="301F8B06" w14:textId="77777777" w:rsidR="006F51D8" w:rsidRPr="007434F2" w:rsidRDefault="006F51D8" w:rsidP="006F51D8">
      <w:pPr>
        <w:spacing w:after="0" w:line="252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1D8" w:rsidRPr="007434F2" w14:paraId="61380DAA" w14:textId="77777777" w:rsidTr="00A5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2538BA" w14:textId="77777777" w:rsidR="006F51D8" w:rsidRPr="007434F2" w:rsidRDefault="006F51D8" w:rsidP="00A55092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  <w:p w14:paraId="3FFDFF5A" w14:textId="003BE70F" w:rsidR="006F51D8" w:rsidRPr="007434F2" w:rsidRDefault="006F51D8" w:rsidP="00A55092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V</w:t>
            </w:r>
            <w:r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</w:t>
            </w:r>
            <w:r w:rsidRPr="007434F2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sr-Latn-ME"/>
              </w:rPr>
              <w:t>II FINANSIJSKO POSLOVANJE</w:t>
            </w:r>
          </w:p>
          <w:p w14:paraId="0E39F9FD" w14:textId="77777777" w:rsidR="006F51D8" w:rsidRPr="007434F2" w:rsidRDefault="006F51D8" w:rsidP="00A55092">
            <w:pPr>
              <w:spacing w:line="252" w:lineRule="auto"/>
              <w:jc w:val="center"/>
              <w:rPr>
                <w:rFonts w:ascii="Times New Roman" w:eastAsia="MS Mincho" w:hAnsi="Times New Roman" w:cs="Times New Roman"/>
                <w:b w:val="0"/>
                <w:strike/>
                <w:noProof/>
                <w:sz w:val="24"/>
                <w:szCs w:val="24"/>
                <w:lang w:val="sr-Latn-ME"/>
              </w:rPr>
            </w:pPr>
          </w:p>
        </w:tc>
      </w:tr>
      <w:tr w:rsidR="006F51D8" w:rsidRPr="004D179D" w14:paraId="44604F6C" w14:textId="77777777" w:rsidTr="00A5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E7119C9" w14:textId="77777777" w:rsidR="006F51D8" w:rsidRPr="007434F2" w:rsidRDefault="006F51D8" w:rsidP="00A55092">
            <w:pPr>
              <w:spacing w:line="252" w:lineRule="auto"/>
              <w:jc w:val="both"/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b w:val="0"/>
                <w:noProof/>
                <w:sz w:val="24"/>
                <w:szCs w:val="24"/>
                <w:lang w:val="sr-Latn-ME"/>
              </w:rPr>
              <w:t>Budžet CNP pretežno čine sredstva iz opštih prihoda, odnosno sredstva opredijeljena Zakonom o budžetu Crne Gore i sopstveni prihodi.</w:t>
            </w:r>
          </w:p>
          <w:p w14:paraId="13F7047F" w14:textId="77777777" w:rsidR="006F51D8" w:rsidRPr="007434F2" w:rsidRDefault="006F51D8" w:rsidP="00A55092">
            <w:pPr>
              <w:spacing w:line="252" w:lineRule="auto"/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Zakonom o budžetu za 2023. godine za CNP je bilo opredijeljeno 2.863.689,01 eura, od kojeg iznosa je 14.364,58 eura vraćeno, tako da stvarni opšti prihodi iznose </w:t>
            </w:r>
            <w:r w:rsidRPr="007434F2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ME"/>
              </w:rPr>
              <w:t xml:space="preserve">2.849.324,43 </w:t>
            </w: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eura.</w:t>
            </w:r>
          </w:p>
          <w:p w14:paraId="067432C3" w14:textId="77777777" w:rsidR="006F51D8" w:rsidRPr="007434F2" w:rsidRDefault="006F51D8" w:rsidP="00A55092">
            <w:pPr>
              <w:spacing w:line="252" w:lineRule="auto"/>
              <w:jc w:val="both"/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U izvještajnom periodu sopstveni prihodi CNP-a su iznosili </w:t>
            </w:r>
            <w:r w:rsidRPr="007434F2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ME"/>
              </w:rPr>
              <w:t>250.306,08</w:t>
            </w: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eura. </w:t>
            </w:r>
          </w:p>
          <w:p w14:paraId="32CC2647" w14:textId="77777777" w:rsidR="006F51D8" w:rsidRPr="007434F2" w:rsidRDefault="006F51D8" w:rsidP="00A55092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Po osnovu bruto zarada potrošeno je 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>1.694.288,06 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(1.691.117,24 od Budžetskih sredstava i 3.170,82 od sopstvenih prihoda)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, </w:t>
            </w: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a prosječna neto zarada iznosila je </w:t>
            </w:r>
            <w:r w:rsidRPr="007434F2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ME"/>
              </w:rPr>
              <w:t>776,84</w:t>
            </w:r>
            <w:r w:rsidRPr="007434F2">
              <w:rPr>
                <w:rFonts w:ascii="Times New Roman" w:eastAsia="MS Mincho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eura.</w:t>
            </w:r>
          </w:p>
          <w:p w14:paraId="5CE5378D" w14:textId="77777777" w:rsidR="006F51D8" w:rsidRDefault="006F51D8" w:rsidP="00A55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</w:pP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Direktni troškovi realizovanih programa, premijera i repriznih izvođenja predstava u 2023.godini su iznosili </w:t>
            </w:r>
            <w:r w:rsidRPr="007434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ME"/>
              </w:rPr>
              <w:t xml:space="preserve">507.887,97 </w:t>
            </w:r>
            <w:r w:rsidRPr="007434F2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eura, što ne uključuje zarade zaposlenih i druge naknade zaposlenih u umjetničkom sektoru.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 xml:space="preserve"> </w:t>
            </w:r>
          </w:p>
          <w:p w14:paraId="6090FA2E" w14:textId="77777777" w:rsidR="006F51D8" w:rsidRPr="007434F2" w:rsidRDefault="006F51D8" w:rsidP="00A550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val="sr-Latn-ME"/>
              </w:rPr>
              <w:t>U prilogu je kompletan finansijski izvještaj za 2023.godinu, blagovremeno dostavljen nadležnim ministarstvima shodno zakonskoj obavezi, a na koji nijesu imali primjedbi.</w:t>
            </w:r>
          </w:p>
          <w:p w14:paraId="34DAAE5F" w14:textId="77777777" w:rsidR="006F51D8" w:rsidRPr="007434F2" w:rsidRDefault="006F51D8" w:rsidP="00A55092">
            <w:pPr>
              <w:pStyle w:val="NoSpacing"/>
              <w:spacing w:line="252" w:lineRule="auto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val="sr-Latn-ME"/>
              </w:rPr>
            </w:pPr>
          </w:p>
        </w:tc>
      </w:tr>
    </w:tbl>
    <w:p w14:paraId="3DD3C511" w14:textId="77777777" w:rsidR="006F51D8" w:rsidRPr="007434F2" w:rsidRDefault="006F51D8" w:rsidP="006F51D8">
      <w:pPr>
        <w:spacing w:after="0" w:line="252" w:lineRule="auto"/>
        <w:rPr>
          <w:rFonts w:ascii="Times New Roman" w:eastAsia="MS Mincho" w:hAnsi="Times New Roman" w:cs="Times New Roman"/>
          <w:b/>
          <w:strike/>
          <w:noProof/>
          <w:sz w:val="24"/>
          <w:szCs w:val="24"/>
          <w:lang w:val="sr-Latn-ME"/>
        </w:rPr>
      </w:pPr>
    </w:p>
    <w:p w14:paraId="2B71390E" w14:textId="77777777" w:rsidR="006F51D8" w:rsidRPr="007434F2" w:rsidRDefault="006F51D8" w:rsidP="00096A40">
      <w:pPr>
        <w:spacing w:after="0" w:line="252" w:lineRule="auto"/>
        <w:rPr>
          <w:rFonts w:ascii="Times New Roman" w:eastAsia="MS Mincho" w:hAnsi="Times New Roman" w:cs="Times New Roman"/>
          <w:b/>
          <w:strike/>
          <w:noProof/>
          <w:sz w:val="24"/>
          <w:szCs w:val="24"/>
          <w:lang w:val="sr-Latn-ME"/>
        </w:rPr>
      </w:pPr>
    </w:p>
    <w:p w14:paraId="3895931C" w14:textId="77777777" w:rsidR="004D179D" w:rsidRPr="00F57525" w:rsidRDefault="004D179D" w:rsidP="004D179D">
      <w:pPr>
        <w:spacing w:after="0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F57525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 xml:space="preserve">Predsjednik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S</w:t>
      </w:r>
      <w:r w:rsidRPr="00F57525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avjeta</w:t>
      </w:r>
    </w:p>
    <w:p w14:paraId="5D397808" w14:textId="77777777" w:rsidR="004D179D" w:rsidRPr="00F57525" w:rsidRDefault="004D179D" w:rsidP="004D179D">
      <w:pPr>
        <w:spacing w:after="0"/>
        <w:ind w:left="504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F575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ME"/>
        </w:rPr>
        <w:t>Vasko Raičević</w:t>
      </w:r>
    </w:p>
    <w:p w14:paraId="00BEA31A" w14:textId="77777777" w:rsidR="004D179D" w:rsidRPr="00F57525" w:rsidRDefault="004D179D" w:rsidP="004D179D">
      <w:pPr>
        <w:spacing w:after="0"/>
        <w:ind w:left="5040" w:firstLine="720"/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</w:pPr>
      <w:r w:rsidRPr="00F57525">
        <w:rPr>
          <w:rFonts w:ascii="Times New Roman" w:eastAsia="Times New Roman" w:hAnsi="Times New Roman" w:cs="Times New Roman"/>
          <w:noProof/>
          <w:sz w:val="24"/>
          <w:szCs w:val="24"/>
          <w:lang w:val="sr-Latn-ME"/>
        </w:rPr>
        <w:t>__________________________</w:t>
      </w:r>
    </w:p>
    <w:p w14:paraId="269A9B60" w14:textId="77777777" w:rsidR="00287076" w:rsidRPr="007434F2" w:rsidRDefault="00287076" w:rsidP="00096A40">
      <w:pPr>
        <w:spacing w:after="0" w:line="252" w:lineRule="auto"/>
        <w:rPr>
          <w:rFonts w:ascii="Times New Roman" w:eastAsia="MS Mincho" w:hAnsi="Times New Roman" w:cs="Times New Roman"/>
          <w:b/>
          <w:strike/>
          <w:noProof/>
          <w:sz w:val="24"/>
          <w:szCs w:val="24"/>
          <w:lang w:val="sr-Latn-ME"/>
        </w:rPr>
      </w:pPr>
    </w:p>
    <w:sectPr w:rsidR="00287076" w:rsidRPr="007434F2" w:rsidSect="005C31B3">
      <w:footerReference w:type="default" r:id="rId9"/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CF7E" w14:textId="77777777" w:rsidR="00473054" w:rsidRDefault="00473054" w:rsidP="00742876">
      <w:pPr>
        <w:spacing w:after="0" w:line="240" w:lineRule="auto"/>
      </w:pPr>
      <w:r>
        <w:separator/>
      </w:r>
    </w:p>
  </w:endnote>
  <w:endnote w:type="continuationSeparator" w:id="0">
    <w:p w14:paraId="50AA3D86" w14:textId="77777777" w:rsidR="00473054" w:rsidRDefault="00473054" w:rsidP="0074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37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8068F" w14:textId="77777777" w:rsidR="00D80E44" w:rsidRDefault="00D80E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5D060BB" w14:textId="77777777" w:rsidR="00D80E44" w:rsidRDefault="00D80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3C49" w14:textId="77777777" w:rsidR="00473054" w:rsidRDefault="00473054" w:rsidP="00742876">
      <w:pPr>
        <w:spacing w:after="0" w:line="240" w:lineRule="auto"/>
      </w:pPr>
      <w:r>
        <w:separator/>
      </w:r>
    </w:p>
  </w:footnote>
  <w:footnote w:type="continuationSeparator" w:id="0">
    <w:p w14:paraId="5939C213" w14:textId="77777777" w:rsidR="00473054" w:rsidRDefault="00473054" w:rsidP="0074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F1C"/>
    <w:multiLevelType w:val="hybridMultilevel"/>
    <w:tmpl w:val="9DB2313C"/>
    <w:lvl w:ilvl="0" w:tplc="0B46C6C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3D1161"/>
    <w:multiLevelType w:val="hybridMultilevel"/>
    <w:tmpl w:val="E732185E"/>
    <w:lvl w:ilvl="0" w:tplc="9774D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D23"/>
    <w:multiLevelType w:val="hybridMultilevel"/>
    <w:tmpl w:val="7ED4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4228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AE7"/>
    <w:multiLevelType w:val="hybridMultilevel"/>
    <w:tmpl w:val="C9C040B6"/>
    <w:lvl w:ilvl="0" w:tplc="43904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A76"/>
    <w:multiLevelType w:val="hybridMultilevel"/>
    <w:tmpl w:val="32C0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9EE"/>
    <w:multiLevelType w:val="hybridMultilevel"/>
    <w:tmpl w:val="58C01A40"/>
    <w:lvl w:ilvl="0" w:tplc="F8DA8E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E3B"/>
    <w:multiLevelType w:val="hybridMultilevel"/>
    <w:tmpl w:val="D41CD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735DD"/>
    <w:multiLevelType w:val="hybridMultilevel"/>
    <w:tmpl w:val="03EA799C"/>
    <w:lvl w:ilvl="0" w:tplc="A006AB6C">
      <w:start w:val="44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7F6"/>
    <w:multiLevelType w:val="multilevel"/>
    <w:tmpl w:val="CFBC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C12FF"/>
    <w:multiLevelType w:val="hybridMultilevel"/>
    <w:tmpl w:val="71788E5E"/>
    <w:lvl w:ilvl="0" w:tplc="9774D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20F33"/>
    <w:multiLevelType w:val="hybridMultilevel"/>
    <w:tmpl w:val="5F70DD68"/>
    <w:lvl w:ilvl="0" w:tplc="EB70E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1B00"/>
    <w:multiLevelType w:val="hybridMultilevel"/>
    <w:tmpl w:val="4F3650CA"/>
    <w:lvl w:ilvl="0" w:tplc="68228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C2630"/>
    <w:multiLevelType w:val="hybridMultilevel"/>
    <w:tmpl w:val="FAA6481C"/>
    <w:lvl w:ilvl="0" w:tplc="C61E0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34831"/>
    <w:multiLevelType w:val="hybridMultilevel"/>
    <w:tmpl w:val="A7EEBE4E"/>
    <w:lvl w:ilvl="0" w:tplc="A7B41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F0D28"/>
    <w:multiLevelType w:val="hybridMultilevel"/>
    <w:tmpl w:val="AED80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657C8"/>
    <w:multiLevelType w:val="hybridMultilevel"/>
    <w:tmpl w:val="A6DCF952"/>
    <w:lvl w:ilvl="0" w:tplc="9774D44C">
      <w:numFmt w:val="bullet"/>
      <w:lvlText w:val="-"/>
      <w:lvlJc w:val="left"/>
      <w:pPr>
        <w:ind w:left="115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5190578C"/>
    <w:multiLevelType w:val="hybridMultilevel"/>
    <w:tmpl w:val="43B018AA"/>
    <w:lvl w:ilvl="0" w:tplc="9C9223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762A41"/>
    <w:multiLevelType w:val="hybridMultilevel"/>
    <w:tmpl w:val="2620E33C"/>
    <w:lvl w:ilvl="0" w:tplc="9774D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667"/>
    <w:multiLevelType w:val="hybridMultilevel"/>
    <w:tmpl w:val="2BB87E1E"/>
    <w:lvl w:ilvl="0" w:tplc="A7B414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4439B"/>
    <w:multiLevelType w:val="hybridMultilevel"/>
    <w:tmpl w:val="A83A6630"/>
    <w:lvl w:ilvl="0" w:tplc="7D88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23B8"/>
    <w:multiLevelType w:val="hybridMultilevel"/>
    <w:tmpl w:val="91FABE74"/>
    <w:lvl w:ilvl="0" w:tplc="11B0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3B80"/>
    <w:multiLevelType w:val="hybridMultilevel"/>
    <w:tmpl w:val="A16089D4"/>
    <w:lvl w:ilvl="0" w:tplc="FFFFFFFF">
      <w:numFmt w:val="bullet"/>
      <w:lvlText w:val="-"/>
      <w:lvlJc w:val="left"/>
      <w:pPr>
        <w:ind w:left="1150" w:hanging="360"/>
      </w:pPr>
      <w:rPr>
        <w:rFonts w:ascii="Calibri" w:eastAsiaTheme="minorHAnsi" w:hAnsi="Calibri" w:cs="Calibri" w:hint="default"/>
      </w:rPr>
    </w:lvl>
    <w:lvl w:ilvl="1" w:tplc="9774D44C">
      <w:numFmt w:val="bullet"/>
      <w:lvlText w:val="-"/>
      <w:lvlJc w:val="left"/>
      <w:pPr>
        <w:ind w:left="187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2" w15:restartNumberingAfterBreak="0">
    <w:nsid w:val="722A7CF3"/>
    <w:multiLevelType w:val="hybridMultilevel"/>
    <w:tmpl w:val="8A16D308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3" w15:restartNumberingAfterBreak="0">
    <w:nsid w:val="7A486EB1"/>
    <w:multiLevelType w:val="hybridMultilevel"/>
    <w:tmpl w:val="388A5490"/>
    <w:lvl w:ilvl="0" w:tplc="A7B414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275402">
    <w:abstractNumId w:val="16"/>
  </w:num>
  <w:num w:numId="2" w16cid:durableId="1498033091">
    <w:abstractNumId w:val="0"/>
  </w:num>
  <w:num w:numId="3" w16cid:durableId="820581160">
    <w:abstractNumId w:val="23"/>
  </w:num>
  <w:num w:numId="4" w16cid:durableId="1627077910">
    <w:abstractNumId w:val="19"/>
  </w:num>
  <w:num w:numId="5" w16cid:durableId="880089768">
    <w:abstractNumId w:val="10"/>
  </w:num>
  <w:num w:numId="6" w16cid:durableId="144668311">
    <w:abstractNumId w:val="8"/>
  </w:num>
  <w:num w:numId="7" w16cid:durableId="1273591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956637">
    <w:abstractNumId w:val="6"/>
  </w:num>
  <w:num w:numId="9" w16cid:durableId="1382055243">
    <w:abstractNumId w:val="5"/>
  </w:num>
  <w:num w:numId="10" w16cid:durableId="690181227">
    <w:abstractNumId w:val="18"/>
  </w:num>
  <w:num w:numId="11" w16cid:durableId="546071928">
    <w:abstractNumId w:val="14"/>
  </w:num>
  <w:num w:numId="12" w16cid:durableId="1748768919">
    <w:abstractNumId w:val="13"/>
  </w:num>
  <w:num w:numId="13" w16cid:durableId="41902794">
    <w:abstractNumId w:val="4"/>
  </w:num>
  <w:num w:numId="14" w16cid:durableId="604078040">
    <w:abstractNumId w:val="22"/>
  </w:num>
  <w:num w:numId="15" w16cid:durableId="1085690717">
    <w:abstractNumId w:val="7"/>
  </w:num>
  <w:num w:numId="16" w16cid:durableId="1021779769">
    <w:abstractNumId w:val="11"/>
  </w:num>
  <w:num w:numId="17" w16cid:durableId="1207646497">
    <w:abstractNumId w:val="20"/>
  </w:num>
  <w:num w:numId="18" w16cid:durableId="327057228">
    <w:abstractNumId w:val="12"/>
  </w:num>
  <w:num w:numId="19" w16cid:durableId="1454442787">
    <w:abstractNumId w:val="3"/>
  </w:num>
  <w:num w:numId="20" w16cid:durableId="50154209">
    <w:abstractNumId w:val="17"/>
  </w:num>
  <w:num w:numId="21" w16cid:durableId="720177929">
    <w:abstractNumId w:val="2"/>
  </w:num>
  <w:num w:numId="22" w16cid:durableId="1195117349">
    <w:abstractNumId w:val="15"/>
  </w:num>
  <w:num w:numId="23" w16cid:durableId="501942014">
    <w:abstractNumId w:val="21"/>
  </w:num>
  <w:num w:numId="24" w16cid:durableId="1616979569">
    <w:abstractNumId w:val="1"/>
  </w:num>
  <w:num w:numId="25" w16cid:durableId="884634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36"/>
    <w:rsid w:val="00003A49"/>
    <w:rsid w:val="00006193"/>
    <w:rsid w:val="0001199C"/>
    <w:rsid w:val="000177F5"/>
    <w:rsid w:val="00017EED"/>
    <w:rsid w:val="00020F91"/>
    <w:rsid w:val="000240D5"/>
    <w:rsid w:val="00025D95"/>
    <w:rsid w:val="000312DF"/>
    <w:rsid w:val="00036081"/>
    <w:rsid w:val="000475FB"/>
    <w:rsid w:val="0005529D"/>
    <w:rsid w:val="00063B5A"/>
    <w:rsid w:val="00077451"/>
    <w:rsid w:val="00084578"/>
    <w:rsid w:val="00096866"/>
    <w:rsid w:val="00096A40"/>
    <w:rsid w:val="00097D52"/>
    <w:rsid w:val="000A069E"/>
    <w:rsid w:val="000A0BA0"/>
    <w:rsid w:val="000B2AAC"/>
    <w:rsid w:val="000B3FF3"/>
    <w:rsid w:val="000C2892"/>
    <w:rsid w:val="000C359C"/>
    <w:rsid w:val="000C6940"/>
    <w:rsid w:val="000D45FB"/>
    <w:rsid w:val="000D72F2"/>
    <w:rsid w:val="000E3392"/>
    <w:rsid w:val="000E3975"/>
    <w:rsid w:val="0010015E"/>
    <w:rsid w:val="00111720"/>
    <w:rsid w:val="00116442"/>
    <w:rsid w:val="00124669"/>
    <w:rsid w:val="00127843"/>
    <w:rsid w:val="00133732"/>
    <w:rsid w:val="00140D4F"/>
    <w:rsid w:val="00141511"/>
    <w:rsid w:val="00152F3D"/>
    <w:rsid w:val="00154D5E"/>
    <w:rsid w:val="00165CC7"/>
    <w:rsid w:val="001719E2"/>
    <w:rsid w:val="00176B26"/>
    <w:rsid w:val="00181134"/>
    <w:rsid w:val="00183F13"/>
    <w:rsid w:val="00185F6B"/>
    <w:rsid w:val="00194B81"/>
    <w:rsid w:val="0019723A"/>
    <w:rsid w:val="001D16EB"/>
    <w:rsid w:val="001E2AE0"/>
    <w:rsid w:val="001E401D"/>
    <w:rsid w:val="001F260A"/>
    <w:rsid w:val="00201086"/>
    <w:rsid w:val="00211957"/>
    <w:rsid w:val="00215CDB"/>
    <w:rsid w:val="00224F45"/>
    <w:rsid w:val="002326EB"/>
    <w:rsid w:val="00240023"/>
    <w:rsid w:val="002529F0"/>
    <w:rsid w:val="00254BE2"/>
    <w:rsid w:val="00270BED"/>
    <w:rsid w:val="00280DEA"/>
    <w:rsid w:val="00287076"/>
    <w:rsid w:val="002925F4"/>
    <w:rsid w:val="0029379B"/>
    <w:rsid w:val="002A5217"/>
    <w:rsid w:val="002B1F87"/>
    <w:rsid w:val="002B7D7D"/>
    <w:rsid w:val="002C6E0A"/>
    <w:rsid w:val="002E6B59"/>
    <w:rsid w:val="002F0B61"/>
    <w:rsid w:val="002F2D23"/>
    <w:rsid w:val="002F6983"/>
    <w:rsid w:val="00300236"/>
    <w:rsid w:val="00302418"/>
    <w:rsid w:val="00304B09"/>
    <w:rsid w:val="00305323"/>
    <w:rsid w:val="00315A3C"/>
    <w:rsid w:val="00315F7E"/>
    <w:rsid w:val="00317943"/>
    <w:rsid w:val="00321C84"/>
    <w:rsid w:val="00324F8F"/>
    <w:rsid w:val="0032599F"/>
    <w:rsid w:val="00337672"/>
    <w:rsid w:val="00342A53"/>
    <w:rsid w:val="00342C41"/>
    <w:rsid w:val="00345CCE"/>
    <w:rsid w:val="00356C79"/>
    <w:rsid w:val="00364CE8"/>
    <w:rsid w:val="003826A4"/>
    <w:rsid w:val="00387603"/>
    <w:rsid w:val="003A04E0"/>
    <w:rsid w:val="003B13EA"/>
    <w:rsid w:val="003B5F15"/>
    <w:rsid w:val="003C2E9D"/>
    <w:rsid w:val="003D2440"/>
    <w:rsid w:val="003D53BB"/>
    <w:rsid w:val="003D631A"/>
    <w:rsid w:val="003E595A"/>
    <w:rsid w:val="003E6572"/>
    <w:rsid w:val="00404BAF"/>
    <w:rsid w:val="00410517"/>
    <w:rsid w:val="00417323"/>
    <w:rsid w:val="00421607"/>
    <w:rsid w:val="00427C40"/>
    <w:rsid w:val="004316A6"/>
    <w:rsid w:val="00434E79"/>
    <w:rsid w:val="0044194F"/>
    <w:rsid w:val="00442CF7"/>
    <w:rsid w:val="00444C21"/>
    <w:rsid w:val="00453AED"/>
    <w:rsid w:val="00460AD7"/>
    <w:rsid w:val="004628A7"/>
    <w:rsid w:val="004669DE"/>
    <w:rsid w:val="00466C4E"/>
    <w:rsid w:val="004679DC"/>
    <w:rsid w:val="00471666"/>
    <w:rsid w:val="0047269A"/>
    <w:rsid w:val="00473054"/>
    <w:rsid w:val="00475F5F"/>
    <w:rsid w:val="00480013"/>
    <w:rsid w:val="00485AE5"/>
    <w:rsid w:val="004A2703"/>
    <w:rsid w:val="004A34E0"/>
    <w:rsid w:val="004B6232"/>
    <w:rsid w:val="004C213E"/>
    <w:rsid w:val="004C26FF"/>
    <w:rsid w:val="004C2E72"/>
    <w:rsid w:val="004C3F33"/>
    <w:rsid w:val="004D15F3"/>
    <w:rsid w:val="004D179D"/>
    <w:rsid w:val="004D1CB5"/>
    <w:rsid w:val="004E098E"/>
    <w:rsid w:val="004E0C77"/>
    <w:rsid w:val="004F5541"/>
    <w:rsid w:val="004F6243"/>
    <w:rsid w:val="00505E67"/>
    <w:rsid w:val="00522655"/>
    <w:rsid w:val="00526723"/>
    <w:rsid w:val="0052686C"/>
    <w:rsid w:val="00556430"/>
    <w:rsid w:val="00557FB0"/>
    <w:rsid w:val="00564491"/>
    <w:rsid w:val="0056704F"/>
    <w:rsid w:val="005718A5"/>
    <w:rsid w:val="005759A0"/>
    <w:rsid w:val="00576376"/>
    <w:rsid w:val="00583297"/>
    <w:rsid w:val="005A0831"/>
    <w:rsid w:val="005A221C"/>
    <w:rsid w:val="005A6651"/>
    <w:rsid w:val="005B59A7"/>
    <w:rsid w:val="005B69E7"/>
    <w:rsid w:val="005B7A49"/>
    <w:rsid w:val="005C1DAA"/>
    <w:rsid w:val="005C31B3"/>
    <w:rsid w:val="005C646F"/>
    <w:rsid w:val="005C6864"/>
    <w:rsid w:val="005D5A56"/>
    <w:rsid w:val="005D73EB"/>
    <w:rsid w:val="005F0C5F"/>
    <w:rsid w:val="006146E1"/>
    <w:rsid w:val="00616448"/>
    <w:rsid w:val="006209EE"/>
    <w:rsid w:val="0063772A"/>
    <w:rsid w:val="00643A85"/>
    <w:rsid w:val="006464FE"/>
    <w:rsid w:val="00646790"/>
    <w:rsid w:val="00650BF9"/>
    <w:rsid w:val="006562EA"/>
    <w:rsid w:val="00656863"/>
    <w:rsid w:val="00656F8D"/>
    <w:rsid w:val="00664F0B"/>
    <w:rsid w:val="0067094E"/>
    <w:rsid w:val="00670FBD"/>
    <w:rsid w:val="006741A9"/>
    <w:rsid w:val="006831DE"/>
    <w:rsid w:val="006A38A4"/>
    <w:rsid w:val="006A6453"/>
    <w:rsid w:val="006C1361"/>
    <w:rsid w:val="006C268E"/>
    <w:rsid w:val="006D0BC4"/>
    <w:rsid w:val="006D10F7"/>
    <w:rsid w:val="006D1836"/>
    <w:rsid w:val="006D3839"/>
    <w:rsid w:val="006E1933"/>
    <w:rsid w:val="006E436D"/>
    <w:rsid w:val="006E4415"/>
    <w:rsid w:val="006E7559"/>
    <w:rsid w:val="006F24C8"/>
    <w:rsid w:val="006F51D8"/>
    <w:rsid w:val="00703BBA"/>
    <w:rsid w:val="007105F7"/>
    <w:rsid w:val="00710F59"/>
    <w:rsid w:val="00735EA3"/>
    <w:rsid w:val="00736EB8"/>
    <w:rsid w:val="00742876"/>
    <w:rsid w:val="007434F2"/>
    <w:rsid w:val="00757FB4"/>
    <w:rsid w:val="00760CAB"/>
    <w:rsid w:val="00764FC6"/>
    <w:rsid w:val="00770CB0"/>
    <w:rsid w:val="0077380F"/>
    <w:rsid w:val="00775C9E"/>
    <w:rsid w:val="0077697F"/>
    <w:rsid w:val="007A32D0"/>
    <w:rsid w:val="007A381D"/>
    <w:rsid w:val="007A7085"/>
    <w:rsid w:val="007B0794"/>
    <w:rsid w:val="007B3871"/>
    <w:rsid w:val="007B6F0E"/>
    <w:rsid w:val="007C6022"/>
    <w:rsid w:val="007C6AAF"/>
    <w:rsid w:val="007C77D0"/>
    <w:rsid w:val="007D0B5B"/>
    <w:rsid w:val="00802306"/>
    <w:rsid w:val="0083049E"/>
    <w:rsid w:val="00840AFF"/>
    <w:rsid w:val="00842267"/>
    <w:rsid w:val="00844558"/>
    <w:rsid w:val="0084787D"/>
    <w:rsid w:val="00856039"/>
    <w:rsid w:val="00865A20"/>
    <w:rsid w:val="0086787C"/>
    <w:rsid w:val="00874CC7"/>
    <w:rsid w:val="00887088"/>
    <w:rsid w:val="008A373C"/>
    <w:rsid w:val="008B0A07"/>
    <w:rsid w:val="008B3420"/>
    <w:rsid w:val="008B66B5"/>
    <w:rsid w:val="008C174B"/>
    <w:rsid w:val="008C2B61"/>
    <w:rsid w:val="008C2E07"/>
    <w:rsid w:val="008C56C9"/>
    <w:rsid w:val="008C74FC"/>
    <w:rsid w:val="008E2470"/>
    <w:rsid w:val="008F127B"/>
    <w:rsid w:val="008F12D2"/>
    <w:rsid w:val="009018E3"/>
    <w:rsid w:val="00901A68"/>
    <w:rsid w:val="00906DCA"/>
    <w:rsid w:val="00907CEB"/>
    <w:rsid w:val="009103D0"/>
    <w:rsid w:val="00920066"/>
    <w:rsid w:val="00920620"/>
    <w:rsid w:val="00922B11"/>
    <w:rsid w:val="0094052B"/>
    <w:rsid w:val="00943634"/>
    <w:rsid w:val="0094628D"/>
    <w:rsid w:val="0094760E"/>
    <w:rsid w:val="009538EC"/>
    <w:rsid w:val="0096364C"/>
    <w:rsid w:val="00970CC5"/>
    <w:rsid w:val="00977151"/>
    <w:rsid w:val="00985F30"/>
    <w:rsid w:val="00990B4D"/>
    <w:rsid w:val="009961EB"/>
    <w:rsid w:val="00996482"/>
    <w:rsid w:val="009B7415"/>
    <w:rsid w:val="009C14CE"/>
    <w:rsid w:val="009C4838"/>
    <w:rsid w:val="009D0BE0"/>
    <w:rsid w:val="009E7E72"/>
    <w:rsid w:val="009F7B6F"/>
    <w:rsid w:val="00A003F4"/>
    <w:rsid w:val="00A0176C"/>
    <w:rsid w:val="00A02525"/>
    <w:rsid w:val="00A04B13"/>
    <w:rsid w:val="00A12849"/>
    <w:rsid w:val="00A15592"/>
    <w:rsid w:val="00A32700"/>
    <w:rsid w:val="00A404B7"/>
    <w:rsid w:val="00A46591"/>
    <w:rsid w:val="00A5689F"/>
    <w:rsid w:val="00A61D0C"/>
    <w:rsid w:val="00A62AA0"/>
    <w:rsid w:val="00A67564"/>
    <w:rsid w:val="00A74CD5"/>
    <w:rsid w:val="00A774BD"/>
    <w:rsid w:val="00A800F8"/>
    <w:rsid w:val="00A808E7"/>
    <w:rsid w:val="00A8415A"/>
    <w:rsid w:val="00A841A6"/>
    <w:rsid w:val="00A86DA7"/>
    <w:rsid w:val="00A93334"/>
    <w:rsid w:val="00A93400"/>
    <w:rsid w:val="00AA5D65"/>
    <w:rsid w:val="00AB5763"/>
    <w:rsid w:val="00AC5B3F"/>
    <w:rsid w:val="00AC5F3C"/>
    <w:rsid w:val="00AD5235"/>
    <w:rsid w:val="00AE5F16"/>
    <w:rsid w:val="00AF5A06"/>
    <w:rsid w:val="00B03182"/>
    <w:rsid w:val="00B063CE"/>
    <w:rsid w:val="00B06B2F"/>
    <w:rsid w:val="00B14012"/>
    <w:rsid w:val="00B2152A"/>
    <w:rsid w:val="00B2419A"/>
    <w:rsid w:val="00B423AF"/>
    <w:rsid w:val="00B432DB"/>
    <w:rsid w:val="00B455A4"/>
    <w:rsid w:val="00B4634D"/>
    <w:rsid w:val="00B5263D"/>
    <w:rsid w:val="00B56B1A"/>
    <w:rsid w:val="00B6115F"/>
    <w:rsid w:val="00B61A1B"/>
    <w:rsid w:val="00B6429A"/>
    <w:rsid w:val="00B802BF"/>
    <w:rsid w:val="00B91517"/>
    <w:rsid w:val="00B9652A"/>
    <w:rsid w:val="00B97877"/>
    <w:rsid w:val="00BB3A4B"/>
    <w:rsid w:val="00BB728C"/>
    <w:rsid w:val="00BC0019"/>
    <w:rsid w:val="00BC1F24"/>
    <w:rsid w:val="00BD1E7F"/>
    <w:rsid w:val="00BD4821"/>
    <w:rsid w:val="00BD6287"/>
    <w:rsid w:val="00BD6E52"/>
    <w:rsid w:val="00BE2432"/>
    <w:rsid w:val="00BE5F62"/>
    <w:rsid w:val="00C010D6"/>
    <w:rsid w:val="00C0451A"/>
    <w:rsid w:val="00C05CB6"/>
    <w:rsid w:val="00C06DA5"/>
    <w:rsid w:val="00C12634"/>
    <w:rsid w:val="00C12E89"/>
    <w:rsid w:val="00C146C7"/>
    <w:rsid w:val="00C27228"/>
    <w:rsid w:val="00C360DE"/>
    <w:rsid w:val="00C42992"/>
    <w:rsid w:val="00C45561"/>
    <w:rsid w:val="00C46798"/>
    <w:rsid w:val="00C5115D"/>
    <w:rsid w:val="00C5680E"/>
    <w:rsid w:val="00C56BED"/>
    <w:rsid w:val="00C62134"/>
    <w:rsid w:val="00C62A71"/>
    <w:rsid w:val="00C63274"/>
    <w:rsid w:val="00C675C2"/>
    <w:rsid w:val="00C734DF"/>
    <w:rsid w:val="00C90358"/>
    <w:rsid w:val="00C90503"/>
    <w:rsid w:val="00C92C2A"/>
    <w:rsid w:val="00C94894"/>
    <w:rsid w:val="00C95F75"/>
    <w:rsid w:val="00CA63A2"/>
    <w:rsid w:val="00CA7375"/>
    <w:rsid w:val="00CB11BC"/>
    <w:rsid w:val="00CC024B"/>
    <w:rsid w:val="00CC655D"/>
    <w:rsid w:val="00CD3775"/>
    <w:rsid w:val="00CE2B3F"/>
    <w:rsid w:val="00CE58C7"/>
    <w:rsid w:val="00D01B60"/>
    <w:rsid w:val="00D07189"/>
    <w:rsid w:val="00D126B2"/>
    <w:rsid w:val="00D12BB1"/>
    <w:rsid w:val="00D12C8A"/>
    <w:rsid w:val="00D21F81"/>
    <w:rsid w:val="00D330DD"/>
    <w:rsid w:val="00D45C5F"/>
    <w:rsid w:val="00D526B1"/>
    <w:rsid w:val="00D56276"/>
    <w:rsid w:val="00D56446"/>
    <w:rsid w:val="00D72FAB"/>
    <w:rsid w:val="00D7454D"/>
    <w:rsid w:val="00D75A18"/>
    <w:rsid w:val="00D75DD8"/>
    <w:rsid w:val="00D80E44"/>
    <w:rsid w:val="00D831CE"/>
    <w:rsid w:val="00D83E00"/>
    <w:rsid w:val="00D9314E"/>
    <w:rsid w:val="00DA1C62"/>
    <w:rsid w:val="00DA29BE"/>
    <w:rsid w:val="00DA422A"/>
    <w:rsid w:val="00DA4A22"/>
    <w:rsid w:val="00DA4BE8"/>
    <w:rsid w:val="00DA5ED6"/>
    <w:rsid w:val="00DB1107"/>
    <w:rsid w:val="00DB6DD5"/>
    <w:rsid w:val="00DC40C5"/>
    <w:rsid w:val="00DC7BB6"/>
    <w:rsid w:val="00DD0D3D"/>
    <w:rsid w:val="00DD14AA"/>
    <w:rsid w:val="00DD55E1"/>
    <w:rsid w:val="00DD75DB"/>
    <w:rsid w:val="00DE779C"/>
    <w:rsid w:val="00DE7C30"/>
    <w:rsid w:val="00DF44D8"/>
    <w:rsid w:val="00DF7757"/>
    <w:rsid w:val="00E026DB"/>
    <w:rsid w:val="00E065C1"/>
    <w:rsid w:val="00E07D89"/>
    <w:rsid w:val="00E129C9"/>
    <w:rsid w:val="00E135D1"/>
    <w:rsid w:val="00E170CA"/>
    <w:rsid w:val="00E178B5"/>
    <w:rsid w:val="00E20D7F"/>
    <w:rsid w:val="00E26F9C"/>
    <w:rsid w:val="00E342EB"/>
    <w:rsid w:val="00E3570D"/>
    <w:rsid w:val="00E40E31"/>
    <w:rsid w:val="00E45D7E"/>
    <w:rsid w:val="00E5075B"/>
    <w:rsid w:val="00E51288"/>
    <w:rsid w:val="00E74278"/>
    <w:rsid w:val="00E75756"/>
    <w:rsid w:val="00E8281C"/>
    <w:rsid w:val="00E87325"/>
    <w:rsid w:val="00E95413"/>
    <w:rsid w:val="00EA4A07"/>
    <w:rsid w:val="00EA5AE2"/>
    <w:rsid w:val="00EA6CB6"/>
    <w:rsid w:val="00EC0DFE"/>
    <w:rsid w:val="00EC2BC6"/>
    <w:rsid w:val="00ED0EBF"/>
    <w:rsid w:val="00ED1152"/>
    <w:rsid w:val="00ED2FC4"/>
    <w:rsid w:val="00ED7C2C"/>
    <w:rsid w:val="00EF28EE"/>
    <w:rsid w:val="00EF61E2"/>
    <w:rsid w:val="00F015A8"/>
    <w:rsid w:val="00F072F0"/>
    <w:rsid w:val="00F07E79"/>
    <w:rsid w:val="00F10634"/>
    <w:rsid w:val="00F20C7B"/>
    <w:rsid w:val="00F243FF"/>
    <w:rsid w:val="00F37F98"/>
    <w:rsid w:val="00F40FF5"/>
    <w:rsid w:val="00F41BEE"/>
    <w:rsid w:val="00F42951"/>
    <w:rsid w:val="00F453D6"/>
    <w:rsid w:val="00F50AFA"/>
    <w:rsid w:val="00F6238B"/>
    <w:rsid w:val="00F673D3"/>
    <w:rsid w:val="00F77FBE"/>
    <w:rsid w:val="00F810DC"/>
    <w:rsid w:val="00FA24C5"/>
    <w:rsid w:val="00FA3B2C"/>
    <w:rsid w:val="00FC354B"/>
    <w:rsid w:val="00FC77C9"/>
    <w:rsid w:val="00FD0B3E"/>
    <w:rsid w:val="00FD41F2"/>
    <w:rsid w:val="00FD5AF4"/>
    <w:rsid w:val="00FD6C54"/>
    <w:rsid w:val="00FD725E"/>
    <w:rsid w:val="00FE10FD"/>
    <w:rsid w:val="00FE332A"/>
    <w:rsid w:val="00FE5030"/>
    <w:rsid w:val="00FE59CD"/>
    <w:rsid w:val="00FE64CB"/>
    <w:rsid w:val="00FE6529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C1D0"/>
  <w15:docId w15:val="{4DC8C080-1171-4755-AA3E-11D0D3C7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0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4012"/>
    <w:pPr>
      <w:keepNext/>
      <w:spacing w:after="0" w:line="240" w:lineRule="auto"/>
      <w:ind w:firstLine="720"/>
      <w:outlineLvl w:val="6"/>
    </w:pPr>
    <w:rPr>
      <w:rFonts w:ascii="Times New Roman" w:eastAsiaTheme="minorEastAsia" w:hAnsi="Times New Roman" w:cs="Times New Roman"/>
      <w:b/>
      <w:sz w:val="24"/>
      <w:szCs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2D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F2D23"/>
    <w:rPr>
      <w:i/>
      <w:iCs/>
    </w:rPr>
  </w:style>
  <w:style w:type="character" w:styleId="Strong">
    <w:name w:val="Strong"/>
    <w:basedOn w:val="DefaultParagraphFont"/>
    <w:uiPriority w:val="22"/>
    <w:qFormat/>
    <w:rsid w:val="00990B4D"/>
    <w:rPr>
      <w:b/>
      <w:bCs/>
    </w:rPr>
  </w:style>
  <w:style w:type="paragraph" w:styleId="ListParagraph">
    <w:name w:val="List Paragraph"/>
    <w:basedOn w:val="Normal"/>
    <w:uiPriority w:val="34"/>
    <w:qFormat/>
    <w:rsid w:val="00FE59CD"/>
    <w:pPr>
      <w:ind w:left="720"/>
      <w:contextualSpacing/>
    </w:pPr>
  </w:style>
  <w:style w:type="table" w:styleId="TableGrid">
    <w:name w:val="Table Grid"/>
    <w:basedOn w:val="TableNormal"/>
    <w:uiPriority w:val="59"/>
    <w:rsid w:val="00ED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D0E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D0E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D0E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37F98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7F9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6E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5Dark-Accent2">
    <w:name w:val="Grid Table 5 Dark Accent 2"/>
    <w:basedOn w:val="TableNormal"/>
    <w:uiPriority w:val="50"/>
    <w:rsid w:val="00315F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paragraph" w:customStyle="1" w:styleId="v1msolistparagraph">
    <w:name w:val="v1msolistparagraph"/>
    <w:basedOn w:val="Normal"/>
    <w:rsid w:val="00CC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76"/>
  </w:style>
  <w:style w:type="paragraph" w:styleId="Footer">
    <w:name w:val="footer"/>
    <w:basedOn w:val="Normal"/>
    <w:link w:val="FooterChar"/>
    <w:uiPriority w:val="99"/>
    <w:unhideWhenUsed/>
    <w:rsid w:val="00742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76"/>
  </w:style>
  <w:style w:type="table" w:styleId="GridTable4-Accent4">
    <w:name w:val="Grid Table 4 Accent 4"/>
    <w:basedOn w:val="TableNormal"/>
    <w:uiPriority w:val="49"/>
    <w:rsid w:val="000C359C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9206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F243FF"/>
    <w:pPr>
      <w:spacing w:after="0" w:line="240" w:lineRule="auto"/>
    </w:pPr>
    <w:tblPr>
      <w:tblStyleRowBandSize w:val="1"/>
      <w:tblStyleColBandSize w:val="1"/>
      <w:tblBorders>
        <w:top w:val="single" w:sz="4" w:space="0" w:color="B2BBCB"/>
        <w:left w:val="single" w:sz="4" w:space="0" w:color="B2BBCB"/>
        <w:bottom w:val="single" w:sz="4" w:space="0" w:color="B2BBCB"/>
        <w:right w:val="single" w:sz="4" w:space="0" w:color="B2BBCB"/>
        <w:insideH w:val="single" w:sz="4" w:space="0" w:color="B2BBCB"/>
        <w:insideV w:val="single" w:sz="4" w:space="0" w:color="B2BB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F8FA9"/>
          <w:left w:val="single" w:sz="4" w:space="0" w:color="7F8FA9"/>
          <w:bottom w:val="single" w:sz="4" w:space="0" w:color="7F8FA9"/>
          <w:right w:val="single" w:sz="4" w:space="0" w:color="7F8FA9"/>
          <w:insideH w:val="nil"/>
          <w:insideV w:val="nil"/>
        </w:tcBorders>
        <w:shd w:val="clear" w:color="auto" w:fill="7F8FA9"/>
      </w:tcPr>
    </w:tblStylePr>
    <w:tblStylePr w:type="lastRow">
      <w:rPr>
        <w:b/>
        <w:bCs/>
      </w:rPr>
      <w:tblPr/>
      <w:tcPr>
        <w:tcBorders>
          <w:top w:val="double" w:sz="4" w:space="0" w:color="7F8F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/>
      </w:tcPr>
    </w:tblStylePr>
    <w:tblStylePr w:type="band1Horz">
      <w:tblPr/>
      <w:tcPr>
        <w:shd w:val="clear" w:color="auto" w:fill="E5E8ED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14012"/>
    <w:rPr>
      <w:rFonts w:ascii="Times New Roman" w:eastAsiaTheme="minorEastAsia" w:hAnsi="Times New Roman" w:cs="Times New Roman"/>
      <w:b/>
      <w:sz w:val="24"/>
      <w:szCs w:val="24"/>
      <w:lang w:val="sr-Latn-M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4012"/>
    <w:pPr>
      <w:spacing w:after="160" w:line="259" w:lineRule="auto"/>
      <w:ind w:firstLine="720"/>
      <w:jc w:val="both"/>
    </w:pPr>
    <w:rPr>
      <w:rFonts w:ascii="Times New Roman" w:eastAsia="Calibri" w:hAnsi="Times New Roman" w:cs="Times New Roman"/>
      <w:bCs/>
      <w:lang w:val="sr-Latn-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4012"/>
    <w:rPr>
      <w:rFonts w:ascii="Times New Roman" w:eastAsia="Calibri" w:hAnsi="Times New Roman" w:cs="Times New Roman"/>
      <w:bCs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012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40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4012"/>
  </w:style>
  <w:style w:type="character" w:styleId="Hyperlink">
    <w:name w:val="Hyperlink"/>
    <w:basedOn w:val="DefaultParagraphFont"/>
    <w:uiPriority w:val="99"/>
    <w:unhideWhenUsed/>
    <w:rsid w:val="00BD1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5D02-51C0-4065-8614-42087EE9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igor damjanović</cp:lastModifiedBy>
  <cp:revision>24</cp:revision>
  <cp:lastPrinted>2024-04-10T11:26:00Z</cp:lastPrinted>
  <dcterms:created xsi:type="dcterms:W3CDTF">2024-03-14T14:45:00Z</dcterms:created>
  <dcterms:modified xsi:type="dcterms:W3CDTF">2024-04-10T11:26:00Z</dcterms:modified>
</cp:coreProperties>
</file>