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0620" w:rsidRPr="00096A40" w14:paraId="790FAF85" w14:textId="77777777" w:rsidTr="00920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A5BC8D4" w14:textId="77777777" w:rsidR="00920620" w:rsidRPr="00096A40" w:rsidRDefault="00920620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sr-Latn-ME"/>
              </w:rPr>
            </w:pPr>
            <w:r w:rsidRPr="00096A40">
              <w:rPr>
                <w:rFonts w:ascii="Times New Roman" w:hAnsi="Times New Roman" w:cs="Times New Roman"/>
                <w:b w:val="0"/>
                <w:sz w:val="24"/>
                <w:szCs w:val="24"/>
                <w:lang w:val="sr-Latn-ME"/>
              </w:rPr>
              <w:t xml:space="preserve">  </w:t>
            </w:r>
          </w:p>
          <w:p w14:paraId="7E342A61" w14:textId="77777777" w:rsidR="00920620" w:rsidRPr="00096A40" w:rsidRDefault="00920620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96A4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JU </w:t>
            </w:r>
            <w:r w:rsidR="00D72FAB" w:rsidRPr="00096A4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Crnogorsko narodno pozorište</w:t>
            </w:r>
          </w:p>
          <w:p w14:paraId="324AC260" w14:textId="77777777" w:rsidR="00920620" w:rsidRPr="00096A40" w:rsidRDefault="00920620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920620" w:rsidRPr="007434F2" w14:paraId="5C6A1691" w14:textId="77777777" w:rsidTr="0092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9CD6891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08316835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A777173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03482B76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02B809D0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95D3007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3708679D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87BB385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CA2EC15" w14:textId="77777777" w:rsidR="00920620" w:rsidRPr="007434F2" w:rsidRDefault="00920620" w:rsidP="00096A40">
            <w:pPr>
              <w:pStyle w:val="NoSpacing"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31479149" w14:textId="77777777" w:rsidR="00920620" w:rsidRPr="007434F2" w:rsidRDefault="00920620" w:rsidP="00096A40">
            <w:pPr>
              <w:pStyle w:val="NoSpacing"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IZVJEŠTAJ O RADU I </w:t>
            </w:r>
          </w:p>
          <w:p w14:paraId="219D6514" w14:textId="77777777" w:rsidR="00920620" w:rsidRPr="007434F2" w:rsidRDefault="00920620" w:rsidP="00096A40">
            <w:pPr>
              <w:pStyle w:val="NoSpacing"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IZVJEŠTAJ O FINANSIJSKOM POSLOVANJU</w:t>
            </w:r>
          </w:p>
          <w:p w14:paraId="2E3B75A7" w14:textId="4EF0AF6F" w:rsidR="00920620" w:rsidRPr="007434F2" w:rsidRDefault="00920620" w:rsidP="00096A40">
            <w:pPr>
              <w:pStyle w:val="NoSpacing"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 202</w:t>
            </w:r>
            <w:r w:rsidR="009D380B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4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 GODINU</w:t>
            </w:r>
          </w:p>
          <w:p w14:paraId="3A1D42C9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0F97FEED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51B7EC5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ADB4002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8334A8A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2BF8AB8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9396E9D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0B55589A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434BE12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66CA63C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213222A4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B67B510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7499E53A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4EFBC7AC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2C27F704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43C0CA7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EBE1EFC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3EB78BDA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227D1006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32DC8A40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1B08B72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7CE27837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72AD416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1171E71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4EF7B5B5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002C6BC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58ED5F0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3B24881" w14:textId="04F807EA" w:rsidR="00920620" w:rsidRPr="007434F2" w:rsidRDefault="00D72FAB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Podgorica</w:t>
            </w:r>
            <w:r w:rsidR="00920620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, </w:t>
            </w:r>
            <w:r w:rsidR="00280DEA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mart</w:t>
            </w:r>
            <w:r w:rsidR="00920620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202</w:t>
            </w:r>
            <w:r w:rsidR="009D380B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5</w:t>
            </w:r>
            <w:r w:rsidR="00920620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 godine</w:t>
            </w:r>
          </w:p>
          <w:p w14:paraId="4994616B" w14:textId="77777777" w:rsidR="007C6AAF" w:rsidRPr="007434F2" w:rsidRDefault="007C6AAF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29F0" w:rsidRPr="007434F2" w14:paraId="7ED6A922" w14:textId="77777777" w:rsidTr="0025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CF0AA90" w14:textId="77777777" w:rsidR="00D72FAB" w:rsidRPr="007434F2" w:rsidRDefault="00D72FAB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67CC5A1C" w14:textId="77777777" w:rsidR="002529F0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lastRenderedPageBreak/>
              <w:t>I OPŠTE INFORMACIJE</w:t>
            </w:r>
          </w:p>
          <w:p w14:paraId="25A9D17F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2529F0" w:rsidRPr="007434F2" w14:paraId="48EABE74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C237FCE" w14:textId="381E373F" w:rsidR="002529F0" w:rsidRPr="007434F2" w:rsidRDefault="002529F0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lastRenderedPageBreak/>
              <w:t>Naziv institucij</w:t>
            </w:r>
            <w:r w:rsidR="00480013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e: </w:t>
            </w:r>
          </w:p>
        </w:tc>
      </w:tr>
      <w:tr w:rsidR="002529F0" w:rsidRPr="007434F2" w14:paraId="63B77EF9" w14:textId="77777777" w:rsidTr="0048001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0993FF4" w14:textId="77777777" w:rsidR="002529F0" w:rsidRPr="007434F2" w:rsidRDefault="00E20D7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JU </w:t>
            </w:r>
            <w:r w:rsidR="00D72FA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Crnogorsko narodno pozorište</w:t>
            </w:r>
            <w:r w:rsidR="00DA4BE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(u daljem tekstu: 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CNP</w:t>
            </w:r>
            <w:r w:rsidR="00DA4BE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)</w:t>
            </w:r>
          </w:p>
          <w:p w14:paraId="42376F59" w14:textId="77777777" w:rsidR="002529F0" w:rsidRPr="007434F2" w:rsidRDefault="002529F0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372EDC8B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18F07E7" w14:textId="77777777" w:rsidR="00345CCE" w:rsidRPr="007434F2" w:rsidRDefault="0096364C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Matična z</w:t>
            </w:r>
            <w:r w:rsidR="00345CCE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akonska regulativa</w:t>
            </w:r>
            <w:r w:rsidR="00A02525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i opšti akti</w:t>
            </w:r>
            <w:r w:rsidR="00345CCE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:</w:t>
            </w:r>
          </w:p>
        </w:tc>
      </w:tr>
      <w:tr w:rsidR="00345CCE" w:rsidRPr="007434F2" w14:paraId="073DFCF6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604FB3D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Zakon o kulturi, Zakon o pozorišnoj djelatnosti, Odluka o organizovanju</w:t>
            </w:r>
            <w:r w:rsidR="00E20D7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Statut </w:t>
            </w:r>
            <w:r w:rsidR="00E20D7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D72FA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Pravilnik o unutrašnjoj organizaciji i sistematizaciji JU Crnogorsko narodno pozorište</w:t>
            </w:r>
            <w:r w:rsidR="00B9652A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</w:t>
            </w:r>
            <w:r w:rsidR="004B623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pravilnici internih procedura.</w:t>
            </w:r>
          </w:p>
          <w:p w14:paraId="1BCFA01B" w14:textId="5BCC1FF3" w:rsidR="004B6232" w:rsidRPr="007434F2" w:rsidRDefault="004B6232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4CA48EE4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01E11FA" w14:textId="7A3A4652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Status:</w:t>
            </w:r>
            <w:r w:rsidR="00480013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345CCE" w:rsidRPr="007434F2" w14:paraId="3AB1306E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00AB065" w14:textId="77777777" w:rsidR="00345CCE" w:rsidRPr="007434F2" w:rsidRDefault="00856039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Državna</w:t>
            </w:r>
            <w:r w:rsidR="00345CCE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javna ustanova kulture</w:t>
            </w:r>
          </w:p>
          <w:p w14:paraId="151DFE4B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024B5A51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A9BB3BE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Organizaciono ustrojstvo:</w:t>
            </w:r>
          </w:p>
        </w:tc>
      </w:tr>
      <w:tr w:rsidR="00345CCE" w:rsidRPr="007434F2" w14:paraId="40CB9D23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FD4842F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Narodno pozorište</w:t>
            </w:r>
          </w:p>
          <w:p w14:paraId="36DFBFBE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75290079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E581BA2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Unutrašnja organizacija:</w:t>
            </w:r>
          </w:p>
        </w:tc>
      </w:tr>
      <w:tr w:rsidR="00345CCE" w:rsidRPr="007434F2" w14:paraId="58EB1F38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040E01" w14:textId="0B7731FD" w:rsidR="00345CCE" w:rsidRPr="007434F2" w:rsidRDefault="00DB6DD5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Uprava, Umjetnički sektor, Služba produkcije, Tehnički sektor (</w:t>
            </w:r>
            <w:r w:rsidR="00764FC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čijem sastavu su: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Odsjek za tehničko–scensku produkciju; Odsjek za održavanje; Servis za zaštitu i higijenu), Sektor finansija (</w:t>
            </w:r>
            <w:r w:rsidR="00764FC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čijem sastavu su: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Odsjek za računovodstvo, Odsjek za nabavke, Odsjek za ugostiteljstvo), Služba za kadrovske, pravne i opšte poslove (</w:t>
            </w:r>
            <w:r w:rsidR="00764FC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čijem sastavu je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Arhiva), Služba za marketing (</w:t>
            </w:r>
            <w:r w:rsidR="00764FC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čijem sastavu je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Odsjek za prodaju), PR služba, Izdavačko-dokumentaciono odjeljenje</w:t>
            </w:r>
            <w:r w:rsidR="0084455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.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539A1381" w14:textId="77777777" w:rsidR="00DB6DD5" w:rsidRPr="007434F2" w:rsidRDefault="00DB6DD5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1FA90352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197BA3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Djelatnost:</w:t>
            </w:r>
          </w:p>
        </w:tc>
      </w:tr>
      <w:tr w:rsidR="00345CCE" w:rsidRPr="007434F2" w14:paraId="32026DC4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1F111DE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Ostvarivanje pozorišne djelatnosti, uz druge oblike kulturno-umjetničkog stvaralaštva, u skladu sa zakonom, osnivačkim aktom i statutom.</w:t>
            </w:r>
          </w:p>
          <w:p w14:paraId="08474A84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1BB24A68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239BA71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Misija:</w:t>
            </w:r>
          </w:p>
        </w:tc>
      </w:tr>
      <w:tr w:rsidR="00345CCE" w:rsidRPr="007434F2" w14:paraId="7C023571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1510BED" w14:textId="77777777" w:rsidR="00345CCE" w:rsidRPr="007434F2" w:rsidRDefault="00345CCE" w:rsidP="004B6232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Nacionalna i internacionalna prezent</w:t>
            </w:r>
            <w:r w:rsidR="004B623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acija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4B623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projekata visokog umjetničkog dometa koje referišu na obaveze institucije koja je organizovana sa statusom narodnog pozorišta u skladu sa zakonom (priprema i izvođenje djela iz kulturne baštine Crne Gore i svjetske kulturne baštine, savremene domaće i strane drame, uz djela muzičke i muzičko-scenske djelatnosti od izuzetnog značaja za razvoj kulture i prosvjetiteljske misije).</w:t>
            </w:r>
          </w:p>
          <w:p w14:paraId="41913DF2" w14:textId="28D3D44C" w:rsidR="00116442" w:rsidRPr="007434F2" w:rsidRDefault="00116442" w:rsidP="004B6232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6F500ABD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BC929A8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Ciljna grupa:</w:t>
            </w:r>
          </w:p>
        </w:tc>
      </w:tr>
      <w:tr w:rsidR="00345CCE" w:rsidRPr="007434F2" w14:paraId="0CEA6C56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CB8E679" w14:textId="557C3CE4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Publika</w:t>
            </w:r>
            <w:r w:rsidR="000F6E5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tinejdžerske i svih ostalih starijih generacija</w:t>
            </w:r>
          </w:p>
          <w:p w14:paraId="0C6EACDE" w14:textId="77777777" w:rsidR="00DB1107" w:rsidRPr="007434F2" w:rsidRDefault="00DB1107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08EA5560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84ACEC0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Prostorni kapaciteti:</w:t>
            </w:r>
          </w:p>
        </w:tc>
      </w:tr>
      <w:tr w:rsidR="00345CCE" w:rsidRPr="007434F2" w14:paraId="23E5C85D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0D9EB24" w14:textId="54D7F7A3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Zgrada Pozorišta </w:t>
            </w:r>
            <w:r w:rsidR="00DB6DD5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(Velika scena, Scena Studio, baletska sala... )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</w:t>
            </w:r>
            <w:r w:rsidR="00DB6DD5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s pripadajućim 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poslovnim prostorima i pravom upravljanja nad dvorišnim prostorima.</w:t>
            </w:r>
          </w:p>
          <w:p w14:paraId="631E7E72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74A35406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444F4F" w14:textId="1F699D82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Broj zaposlenih:</w:t>
            </w:r>
          </w:p>
        </w:tc>
      </w:tr>
      <w:tr w:rsidR="00345CCE" w:rsidRPr="007434F2" w14:paraId="1B2E0332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8DB7193" w14:textId="507CCE14" w:rsidR="00345CCE" w:rsidRPr="007434F2" w:rsidRDefault="00DB6DD5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13</w:t>
            </w:r>
            <w:r w:rsidR="009D380B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8</w:t>
            </w:r>
          </w:p>
          <w:p w14:paraId="55A0F6EF" w14:textId="77777777" w:rsidR="00E20D7F" w:rsidRPr="007434F2" w:rsidRDefault="00E20D7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E20D7F" w:rsidRPr="007434F2" w14:paraId="0020AA56" w14:textId="77777777" w:rsidTr="00E20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3D5CDF" w14:textId="41C72F11" w:rsidR="00E20D7F" w:rsidRPr="007434F2" w:rsidRDefault="000F6E59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lastRenderedPageBreak/>
              <w:t>Uprava CNP-a</w:t>
            </w:r>
          </w:p>
        </w:tc>
      </w:tr>
      <w:tr w:rsidR="00063FC3" w:rsidRPr="007434F2" w14:paraId="2D0E549F" w14:textId="77777777" w:rsidTr="00E20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76909A4" w14:textId="77777777" w:rsidR="00063FC3" w:rsidRDefault="00063FC3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6DE19BC8" w14:textId="2D1351B7" w:rsidR="00063FC3" w:rsidRDefault="00063FC3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Upravu CNP-a čine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Savjet</w:t>
            </w:r>
            <w:r w:rsidR="00F606A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ustanove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 direktor i umjetnički direktor.</w:t>
            </w:r>
          </w:p>
          <w:p w14:paraId="49E338FE" w14:textId="77777777" w:rsidR="00063FC3" w:rsidRDefault="00063FC3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359C" w:rsidRPr="007434F2" w14:paraId="0C80F402" w14:textId="77777777" w:rsidTr="000C3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17FD296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2FBE9D96" w14:textId="74AA6D77" w:rsidR="00DA1C62" w:rsidRPr="00D841AA" w:rsidRDefault="00DA1C62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sr-Latn-ME"/>
              </w:rPr>
            </w:pPr>
            <w:r w:rsidRP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II </w:t>
            </w:r>
            <w:r w:rsidR="00D841AA" w:rsidRP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</w:t>
            </w:r>
            <w:r w:rsidRP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PRAVNI</w:t>
            </w:r>
            <w:r w:rsidR="0077697F" w:rsidRP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, </w:t>
            </w:r>
            <w:r w:rsidRP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OPŠTI </w:t>
            </w:r>
            <w:r w:rsid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I</w:t>
            </w:r>
            <w:r w:rsidR="0077697F" w:rsidRP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KADROVSKI </w:t>
            </w:r>
            <w:r w:rsidRP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POSLOVI</w:t>
            </w:r>
          </w:p>
          <w:p w14:paraId="3EB04CD9" w14:textId="77777777" w:rsidR="000C359C" w:rsidRPr="007434F2" w:rsidRDefault="000C359C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9D380B" w:rsidRPr="007434F2" w14:paraId="70CCA4AD" w14:textId="77777777" w:rsidTr="000C3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8E6E6FF" w14:textId="77777777" w:rsidR="009D380B" w:rsidRDefault="009D380B" w:rsidP="009D380B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64EE486A" w14:textId="1EB32E87" w:rsidR="009D380B" w:rsidRPr="00CC673C" w:rsidRDefault="009D380B" w:rsidP="009D380B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</w:pPr>
            <w:r w:rsidRPr="00CC673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Iz domena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kadrovskih, pravnih i opštih</w:t>
            </w:r>
            <w:r w:rsidRPr="00CC673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 poslova realizovane su sljedeće obaveze</w:t>
            </w:r>
            <w:r w:rsidR="000F6E5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 i aktivnosti</w:t>
            </w:r>
            <w:r w:rsidRPr="00CC673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:</w:t>
            </w:r>
          </w:p>
          <w:p w14:paraId="245CEBEB" w14:textId="4E100324" w:rsidR="009D380B" w:rsidRPr="008B2E3F" w:rsidRDefault="009D380B" w:rsidP="008B2E3F">
            <w:pPr>
              <w:pStyle w:val="ListParagraph"/>
              <w:numPr>
                <w:ilvl w:val="0"/>
                <w:numId w:val="37"/>
              </w:numPr>
              <w:spacing w:line="252" w:lineRule="auto"/>
              <w:ind w:left="702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</w:pPr>
            <w:r w:rsidRPr="008B2E3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Rad Savjeta CNP</w:t>
            </w:r>
            <w:r w:rsidR="00746D1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-a</w:t>
            </w:r>
            <w:r w:rsidRPr="008B2E3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8B2E3F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obezbjeđivan je u kontinuitetu. Održano je </w:t>
            </w:r>
            <w:r w:rsidR="0056249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osam (8)</w:t>
            </w:r>
            <w:r w:rsidRPr="008B2E3F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sjednica na kojima su razmatrana različita pitanja iz nadležnosti Savjeta, uz pripremljene materijale i dokumentaciju neophodnu za odlučivanje;</w:t>
            </w:r>
            <w:r w:rsidRPr="008B2E3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  </w:t>
            </w:r>
          </w:p>
          <w:p w14:paraId="017FF685" w14:textId="10984436" w:rsidR="00562495" w:rsidRPr="00562495" w:rsidRDefault="009D380B" w:rsidP="008B2E3F">
            <w:pPr>
              <w:pStyle w:val="ListParagraph"/>
              <w:numPr>
                <w:ilvl w:val="0"/>
                <w:numId w:val="37"/>
              </w:numPr>
              <w:ind w:left="702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</w:pPr>
            <w:bookmarkStart w:id="0" w:name="_Hlk194487133"/>
            <w:r w:rsidRPr="00CC673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U oblasti normativne djelatnosti, </w:t>
            </w:r>
            <w:r w:rsidRPr="003D333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a u cilju unapređenja pravne infrastrukture </w:t>
            </w:r>
            <w:r w:rsidR="0056249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i implementacije dijela preporuka revizije resornog ministarstva, </w:t>
            </w:r>
            <w:r w:rsidRPr="003D333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usvojeno je pet (5) novih akata:</w:t>
            </w:r>
            <w:r w:rsidRPr="003D333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665014C5" w14:textId="77777777" w:rsidR="00562495" w:rsidRDefault="009D380B" w:rsidP="00562495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sr-Latn-ME"/>
              </w:rPr>
            </w:pPr>
            <w:r w:rsidRPr="005565F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Etički kodeks JU CNP;</w:t>
            </w:r>
          </w:p>
          <w:p w14:paraId="29980A25" w14:textId="77777777" w:rsidR="00562495" w:rsidRDefault="009D380B" w:rsidP="00562495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sr-Latn-ME"/>
              </w:rPr>
            </w:pPr>
            <w:r w:rsidRPr="005565F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Pravilnik o kancelarijskom i arhivskom poslovanju JU CNP;</w:t>
            </w:r>
          </w:p>
          <w:p w14:paraId="758897E7" w14:textId="77777777" w:rsidR="00562495" w:rsidRDefault="009D380B" w:rsidP="00562495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sr-Latn-ME"/>
              </w:rPr>
            </w:pPr>
            <w:r w:rsidRPr="005565F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Interno pravilo o sadržaju i načinu vođenja evidencije poklona javnih funkcionera;</w:t>
            </w:r>
          </w:p>
          <w:p w14:paraId="40277250" w14:textId="22AD8308" w:rsidR="00562495" w:rsidRDefault="009D380B" w:rsidP="00562495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sr-Latn-ME"/>
              </w:rPr>
            </w:pPr>
            <w:r w:rsidRPr="005565F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Pravila o bližem načinu postupanja po prijavi zviždača o korupcji i drugih nepravilnosti u JU CNP i zaštiti identiteta lica koje je podnijelo prijavu;</w:t>
            </w:r>
          </w:p>
          <w:p w14:paraId="1EE02DD0" w14:textId="77777777" w:rsidR="00562495" w:rsidRDefault="009D380B" w:rsidP="00562495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sr-Latn-ME"/>
              </w:rPr>
            </w:pPr>
            <w:r w:rsidRPr="005565F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Interna procedura o načinu obračuna i isplate zarade JU CNP.</w:t>
            </w:r>
          </w:p>
          <w:p w14:paraId="4319264B" w14:textId="236ED9B3" w:rsidR="00562495" w:rsidRDefault="009D380B" w:rsidP="00562495">
            <w:pPr>
              <w:pStyle w:val="ListParagraph"/>
              <w:ind w:left="70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3D3334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 istom kontekstu započeo je rad na izradi još pet (5) akata</w:t>
            </w:r>
            <w:r w:rsidR="00562495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čije se usvajanje planira u 2025.godini i to:</w:t>
            </w:r>
          </w:p>
          <w:p w14:paraId="7AA29D7E" w14:textId="77777777" w:rsidR="00562495" w:rsidRDefault="009D380B" w:rsidP="00562495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Latn-ME"/>
              </w:rPr>
            </w:pPr>
            <w:r w:rsidRPr="005565F8">
              <w:rPr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Pravilnik o disciplinskoj i materijalnoj odgovornosti;</w:t>
            </w:r>
          </w:p>
          <w:p w14:paraId="7D7E52EE" w14:textId="77777777" w:rsidR="00562495" w:rsidRDefault="009D380B" w:rsidP="00562495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Latn-ME"/>
              </w:rPr>
            </w:pPr>
            <w:r w:rsidRPr="005565F8">
              <w:rPr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Pravilnik o označavanju tajnosti podataka u posjedu JU CNP</w:t>
            </w:r>
            <w:r w:rsidR="00562495">
              <w:rPr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;</w:t>
            </w:r>
          </w:p>
          <w:p w14:paraId="560D56B6" w14:textId="77777777" w:rsidR="00562495" w:rsidRDefault="009D380B" w:rsidP="00562495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Latn-ME"/>
              </w:rPr>
            </w:pPr>
            <w:r w:rsidRPr="005565F8">
              <w:rPr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Pravilnik o stručnom usavršavanju zaposlenih;</w:t>
            </w:r>
          </w:p>
          <w:p w14:paraId="14CF7ECD" w14:textId="77777777" w:rsidR="00562495" w:rsidRDefault="009D380B" w:rsidP="00562495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sr-Latn-ME"/>
              </w:rPr>
            </w:pPr>
            <w:r w:rsidRPr="005565F8">
              <w:rPr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Interna procedura o angažovanju lica po ugovoru o dopunskom radu;</w:t>
            </w:r>
          </w:p>
          <w:p w14:paraId="1BD365F3" w14:textId="5B5E4E3E" w:rsidR="009D380B" w:rsidRPr="009D470E" w:rsidRDefault="009D380B" w:rsidP="00562495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</w:pPr>
            <w:r w:rsidRPr="005565F8">
              <w:rPr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Interno uputstvo o praćenju sprovođenja ugovora o javnim nabavkama</w:t>
            </w:r>
            <w:r w:rsidR="00562495">
              <w:rPr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.</w:t>
            </w:r>
          </w:p>
          <w:bookmarkEnd w:id="0"/>
          <w:p w14:paraId="0191B177" w14:textId="3D474A23" w:rsidR="009D470E" w:rsidRPr="009D470E" w:rsidRDefault="009D470E" w:rsidP="008B2E3F">
            <w:pPr>
              <w:pStyle w:val="ListParagraph"/>
              <w:numPr>
                <w:ilvl w:val="0"/>
                <w:numId w:val="37"/>
              </w:numPr>
              <w:ind w:left="702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9D470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Članovi glumačkog ansambla CNP-a </w:t>
            </w:r>
            <w:r w:rsidRPr="005624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Srđan Grahovac</w:t>
            </w:r>
            <w:r w:rsidRPr="009D470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5624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Ana Vujošević</w:t>
            </w:r>
            <w:r w:rsidRPr="009D470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 </w:t>
            </w:r>
            <w:r w:rsidRPr="005624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Nada Vukčević</w:t>
            </w:r>
            <w:r w:rsidRPr="009D470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stekli su zvanje prvaka drame na osnovu odluke Ministarstva kulture i medija. 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</w:t>
            </w:r>
            <w:r w:rsidRPr="009D470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sadašnjem ansamblu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to prestižno zvanje</w:t>
            </w:r>
            <w:r w:rsidRPr="009D470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imaju još glumci Varja Đukić i Mirko Vlahović.</w:t>
            </w:r>
          </w:p>
          <w:p w14:paraId="17FACB02" w14:textId="684B3713" w:rsidR="009D380B" w:rsidRPr="00C00DBA" w:rsidRDefault="009D380B" w:rsidP="008B2E3F">
            <w:pPr>
              <w:pStyle w:val="ListParagraph"/>
              <w:numPr>
                <w:ilvl w:val="0"/>
                <w:numId w:val="37"/>
              </w:numPr>
              <w:spacing w:line="252" w:lineRule="auto"/>
              <w:ind w:left="702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color w:val="FF0000"/>
                <w:sz w:val="24"/>
                <w:szCs w:val="24"/>
                <w:lang w:val="sr-Latn-ME"/>
              </w:rPr>
            </w:pPr>
            <w:r w:rsidRPr="008B2E3F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CNP je blagovremeno pokretalo proceduru </w:t>
            </w:r>
            <w:r w:rsidR="0056249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i obezbijeđivalo </w:t>
            </w:r>
            <w:r w:rsidR="005624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regulisanje </w:t>
            </w:r>
            <w:r w:rsidR="00562495" w:rsidRPr="008B2E3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autorskih prava</w:t>
            </w:r>
            <w:r w:rsidR="00562495" w:rsidRPr="008B2E3F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56249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za predstave i </w:t>
            </w:r>
            <w:r w:rsidR="00A97EA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druge </w:t>
            </w:r>
            <w:r w:rsidR="0056249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programe, </w:t>
            </w:r>
            <w:r w:rsidRPr="008B2E3F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posredstvom specijalizovanih agencija u zemlji i regionu, kao i kroz direktnu komunikaciju s nosiocima tih prava i </w:t>
            </w:r>
            <w:r w:rsidR="00A97EA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izmirivalo naknade po tom osnovu</w:t>
            </w:r>
            <w:r w:rsidRPr="008B2E3F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0BE66B97" w14:textId="77777777" w:rsidR="00A97EA6" w:rsidRPr="00A97EA6" w:rsidRDefault="00C00DBA" w:rsidP="00C00DBA">
            <w:pPr>
              <w:pStyle w:val="ListParagraph"/>
              <w:numPr>
                <w:ilvl w:val="0"/>
                <w:numId w:val="37"/>
              </w:numPr>
              <w:spacing w:line="252" w:lineRule="auto"/>
              <w:ind w:left="702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color w:val="FF0000"/>
                <w:sz w:val="24"/>
                <w:szCs w:val="24"/>
                <w:lang w:val="sr-Latn-ME"/>
              </w:rPr>
            </w:pPr>
            <w:r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</w:t>
            </w:r>
            <w:r w:rsidR="009D380B"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redno su realizovane i sljedeće obaveze:</w:t>
            </w:r>
          </w:p>
          <w:p w14:paraId="43AEF07C" w14:textId="1F70EE67" w:rsidR="00A97EA6" w:rsidRDefault="009D380B" w:rsidP="00A97EA6">
            <w:pPr>
              <w:pStyle w:val="ListParagraph"/>
              <w:numPr>
                <w:ilvl w:val="0"/>
                <w:numId w:val="45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</w:pPr>
            <w:r w:rsidRPr="00E332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subvencije kod Zavoda za zapošljavanje</w:t>
            </w:r>
            <w:r w:rsidR="00E332D3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-</w:t>
            </w:r>
            <w:r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Fond za profesionalnu rehabilitaciju i zapošljavanje lica s invaliditetom povodom priznatog prava na mjesečne subvencije </w:t>
            </w:r>
            <w:r w:rsidR="00A97EA6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šest (6) </w:t>
            </w:r>
            <w:r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zaposlenih u CNP</w:t>
            </w: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01B18FA6" w14:textId="2990C160" w:rsidR="00A97EA6" w:rsidRDefault="009D380B" w:rsidP="00A97EA6">
            <w:pPr>
              <w:pStyle w:val="ListParagraph"/>
              <w:numPr>
                <w:ilvl w:val="0"/>
                <w:numId w:val="45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</w:pPr>
            <w:r w:rsidRPr="00746D1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obavezni </w:t>
            </w:r>
            <w:r w:rsidR="00746D19" w:rsidRPr="00746D1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periodični </w:t>
            </w:r>
            <w:r w:rsidRPr="00746D1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zdravstveni pregledi zaposlenih</w:t>
            </w: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na osnovu Akta o procjeni rizika na radnom mjestu;</w:t>
            </w:r>
          </w:p>
          <w:p w14:paraId="51A3B0E0" w14:textId="7CD9116C" w:rsidR="009D380B" w:rsidRPr="00C00DBA" w:rsidRDefault="009D380B" w:rsidP="00A97EA6">
            <w:pPr>
              <w:pStyle w:val="ListParagraph"/>
              <w:numPr>
                <w:ilvl w:val="0"/>
                <w:numId w:val="45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color w:val="FF0000"/>
                <w:sz w:val="24"/>
                <w:szCs w:val="24"/>
                <w:lang w:val="sr-Latn-ME"/>
              </w:rPr>
            </w:pPr>
            <w:r w:rsidRPr="00746D1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lastRenderedPageBreak/>
              <w:t>kontinuirana komunikacija s advokatom – punomoćnikom</w:t>
            </w: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u vezi sa šest sporova koje CNP vodi </w:t>
            </w:r>
            <w:r w:rsidR="00525A5C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po različitim osnovima</w:t>
            </w:r>
            <w:r w:rsidR="00726F9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a u bitnom se odnose na </w:t>
            </w:r>
            <w:r w:rsidR="00525A5C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imovinsk</w:t>
            </w:r>
            <w:r w:rsidR="00726F9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o-pravne i radne</w:t>
            </w:r>
            <w:r w:rsidR="00525A5C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726F9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odnose</w:t>
            </w:r>
            <w:r w:rsidR="00735CF6"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0FC5633C" w14:textId="50B253EB" w:rsidR="009D380B" w:rsidRPr="00C00DBA" w:rsidRDefault="009D380B" w:rsidP="00C00DBA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napToGrid w:val="0"/>
              <w:spacing w:line="252" w:lineRule="auto"/>
              <w:ind w:left="702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C00DB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Komisija za dodjelu jednokratnih pomoći zaposlenima </w:t>
            </w: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imenovana od strane Savjeta (</w:t>
            </w:r>
            <w:r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Odluka br. 2873/3 od 23.06.2023.godine)</w:t>
            </w: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na osnovu </w:t>
            </w:r>
            <w:r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Granskog kolektivnog ugovora za oblast kulture i Pravilnika o uslovima ostvarivanja prava i načinu isplate jednokratne pomoći za zaposlene zasijedala je kvartalno, a na sjednicama je razmatrala i odobrila 29 podnijetih zahtjeva;</w:t>
            </w:r>
          </w:p>
          <w:p w14:paraId="227CB0D1" w14:textId="24D8CD79" w:rsidR="009D380B" w:rsidRPr="00C00DBA" w:rsidRDefault="009D380B" w:rsidP="00C00DBA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napToGrid w:val="0"/>
              <w:spacing w:line="252" w:lineRule="auto"/>
              <w:ind w:left="702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C00DB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Izvještaj o sprovođenju Plana integriteta CNP za 2023. godinu </w:t>
            </w: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blagovremeno je pripremljen i dostavljen Agenciji za sprječavanje korupcije (u daljem tekstu: ASK), kojoj su takođe u zakonskom roku za 2024. godinu dostavljeni i izvodi iz evidencija poklona, sponzorstava i donacija;</w:t>
            </w:r>
          </w:p>
          <w:p w14:paraId="2498085C" w14:textId="7F88810A" w:rsidR="009D380B" w:rsidRPr="00C00DBA" w:rsidRDefault="009D380B" w:rsidP="00C00DBA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napToGrid w:val="0"/>
              <w:spacing w:line="252" w:lineRule="auto"/>
              <w:ind w:left="702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Nastavljeno je sa </w:t>
            </w:r>
            <w:r w:rsidRPr="00C00DB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stručnim obukama zaposlenih</w:t>
            </w: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u oblasti računovodstva, javnih nabavki, izrad</w:t>
            </w:r>
            <w:r w:rsidR="00726F9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e</w:t>
            </w: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projekata za pristup fondovima, prava i tehničkoj osposobljenosti za rad na scenskoj opremi;</w:t>
            </w:r>
          </w:p>
          <w:p w14:paraId="7785815E" w14:textId="40F2593B" w:rsidR="009D380B" w:rsidRPr="00C00DBA" w:rsidRDefault="009D380B" w:rsidP="00C00DBA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napToGrid w:val="0"/>
              <w:spacing w:line="252" w:lineRule="auto"/>
              <w:ind w:left="702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CNP </w:t>
            </w:r>
            <w:r w:rsidR="002F64CB"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je nastavilo učešće</w:t>
            </w:r>
            <w:r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u </w:t>
            </w:r>
            <w:r w:rsidRPr="00C00D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Program</w:t>
            </w:r>
            <w:r w:rsidR="002F64CB" w:rsidRPr="00C00D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u</w:t>
            </w:r>
            <w:r w:rsidRPr="00C00D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stručnog osposobljavanja</w:t>
            </w:r>
            <w:r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 po tom osnovu je devet pripravnika uspješno završilo rad tokom 2024. godine, a istovremeno je proces nastavljen prijemom sedam novih korisnika za 2025. godinu u umjetničkom, finansijskom sektoru i službi za marketing</w:t>
            </w:r>
            <w:r w:rsid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6D3C5319" w14:textId="40E4DAC5" w:rsidR="008B2E3F" w:rsidRPr="00C00DBA" w:rsidRDefault="008B2E3F" w:rsidP="008B2E3F">
            <w:pPr>
              <w:pStyle w:val="ListParagraph"/>
              <w:numPr>
                <w:ilvl w:val="0"/>
                <w:numId w:val="38"/>
              </w:numPr>
              <w:spacing w:line="252" w:lineRule="auto"/>
              <w:ind w:left="702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8B2E3F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Na osnovu</w:t>
            </w:r>
            <w:r w:rsidRPr="008B2E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sporazumnog raskida ugovora </w:t>
            </w:r>
            <w:r w:rsidRPr="008B2E3F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radni odnos prestao je </w:t>
            </w:r>
            <w:r w:rsidR="00726F9E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jednom licu</w:t>
            </w:r>
            <w:r w:rsidRPr="008B2E3F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57C0EC15" w14:textId="639175F0" w:rsidR="009D380B" w:rsidRPr="00C00DBA" w:rsidRDefault="009D380B" w:rsidP="00C00DBA">
            <w:pPr>
              <w:pStyle w:val="ListParagraph"/>
              <w:numPr>
                <w:ilvl w:val="0"/>
                <w:numId w:val="38"/>
              </w:numPr>
              <w:spacing w:line="252" w:lineRule="auto"/>
              <w:ind w:left="702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Nastavljena je kontinuirana i konstruktivna </w:t>
            </w:r>
            <w:r w:rsidRPr="00C00D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saradnja s reprezentativnim sindikalnim organizacijama CNP i Sindikatom kulture Crne Gore</w:t>
            </w:r>
            <w:r w:rsidRPr="00C00DBA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putem raznih vidova pomoći zaposlenima</w:t>
            </w: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7795DEF8" w14:textId="77777777" w:rsidR="00C00DBA" w:rsidRPr="00C00DBA" w:rsidRDefault="009D380B" w:rsidP="00C00DBA">
            <w:pPr>
              <w:pStyle w:val="ListParagraph"/>
              <w:numPr>
                <w:ilvl w:val="0"/>
                <w:numId w:val="38"/>
              </w:numPr>
              <w:spacing w:line="252" w:lineRule="auto"/>
              <w:ind w:left="702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Nakon donošenja Odluke o raspisivanju izbora za odbornike u Skupštini Glavnog grada Podgorica 31.7.2024. godine uredno je sprovedeno </w:t>
            </w:r>
            <w:r w:rsidRPr="00C00DB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izvještavanje u izbornoj kampanji</w:t>
            </w: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 dostavljani svi neophodni podaci (analitičke kartice, putni nalozi, ugovori o djelu, ugovori o dopunskom radu, autorski ugovori, dokumentacija koja se odnosi na novozaposlene) shodno Zakonu o finansiranju političkih subjekata i izbornih kampanja, dostavljani su ASK i Skupštini Crne Gore;</w:t>
            </w:r>
          </w:p>
          <w:p w14:paraId="397AB0E3" w14:textId="3392E205" w:rsidR="009D380B" w:rsidRPr="00C00DBA" w:rsidRDefault="009D380B" w:rsidP="00C00DBA">
            <w:pPr>
              <w:pStyle w:val="ListParagraph"/>
              <w:numPr>
                <w:ilvl w:val="0"/>
                <w:numId w:val="38"/>
              </w:numPr>
              <w:spacing w:line="252" w:lineRule="auto"/>
              <w:ind w:left="702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C00DBA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Svi zakonom propisani izvještaji o poslovanju CNP blagovremeno su dostavljani na utvrđenim obrascima ministarstvima nadležnim za poslove finansija i kulture, uz interno izvještavanje za potrebe Uprave Pozorišta</w:t>
            </w:r>
            <w:r w:rsidR="00755A43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</w:p>
          <w:p w14:paraId="6D8A6189" w14:textId="0FC67CD1" w:rsidR="009D380B" w:rsidRPr="008178F5" w:rsidRDefault="009D380B" w:rsidP="008178F5">
            <w:pPr>
              <w:spacing w:line="252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Obavljani i svi ostali poslovi iz djelokruga kadrovsk</w:t>
            </w:r>
            <w:r w:rsidR="008178F5"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ih</w:t>
            </w:r>
            <w:r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pravn</w:t>
            </w:r>
            <w:r w:rsidR="008178F5"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ih</w:t>
            </w:r>
            <w:r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 opšt</w:t>
            </w:r>
            <w:r w:rsidR="008178F5"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ih</w:t>
            </w:r>
            <w:r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poslov</w:t>
            </w:r>
            <w:r w:rsidR="008178F5"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</w:t>
            </w:r>
            <w:r w:rsidR="00436CE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CNP-a</w:t>
            </w:r>
            <w:r w:rsidR="008178F5"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od </w:t>
            </w:r>
            <w:r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priprem</w:t>
            </w:r>
            <w:r w:rsidR="008178F5"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e</w:t>
            </w:r>
            <w:r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svih normativnih akata, rješenja, odluka, ugovora, kao i evidencija istih, obrada odštetnih zahtjeva kod osiguravajućeg društva,</w:t>
            </w:r>
            <w:r w:rsidR="008178F5"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do</w:t>
            </w:r>
            <w:r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postupanj</w:t>
            </w:r>
            <w:r w:rsidR="008178F5"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</w:t>
            </w:r>
            <w:r w:rsidRPr="008178F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o upravnim stvarima shodno ZUP-u i Zakonu o slobodnom pristupu informacija.</w:t>
            </w:r>
          </w:p>
        </w:tc>
      </w:tr>
    </w:tbl>
    <w:p w14:paraId="75D66DDE" w14:textId="77777777" w:rsidR="000C359C" w:rsidRPr="007434F2" w:rsidRDefault="000C359C" w:rsidP="00096A40">
      <w:pPr>
        <w:spacing w:after="0" w:line="252" w:lineRule="auto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tbl>
      <w:tblPr>
        <w:tblStyle w:val="GridTable4-Accent4"/>
        <w:tblW w:w="9427" w:type="dxa"/>
        <w:tblLook w:val="04A0" w:firstRow="1" w:lastRow="0" w:firstColumn="1" w:lastColumn="0" w:noHBand="0" w:noVBand="1"/>
      </w:tblPr>
      <w:tblGrid>
        <w:gridCol w:w="9427"/>
      </w:tblGrid>
      <w:tr w:rsidR="00670FBD" w:rsidRPr="007434F2" w14:paraId="533B4117" w14:textId="77777777" w:rsidTr="00031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7" w:type="dxa"/>
          </w:tcPr>
          <w:p w14:paraId="3E41C294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</w:p>
          <w:p w14:paraId="7BD27503" w14:textId="3A93F014" w:rsidR="000C359C" w:rsidRPr="00D841AA" w:rsidRDefault="000C359C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  <w:r w:rsidRP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III </w:t>
            </w:r>
            <w:r w:rsidR="00D841AA" w:rsidRP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</w:t>
            </w:r>
            <w:r w:rsidRP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UMJETNIČKA REALIZACIJA PROGRAMA</w:t>
            </w:r>
          </w:p>
          <w:p w14:paraId="53DFFEB5" w14:textId="77777777" w:rsidR="000C359C" w:rsidRPr="007434F2" w:rsidRDefault="000C359C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</w:p>
        </w:tc>
      </w:tr>
      <w:tr w:rsidR="00670FBD" w:rsidRPr="007434F2" w14:paraId="44CC45BC" w14:textId="77777777" w:rsidTr="0003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7" w:type="dxa"/>
          </w:tcPr>
          <w:p w14:paraId="48EC8AFF" w14:textId="77777777" w:rsidR="008B34AE" w:rsidRDefault="008B34AE" w:rsidP="008B34AE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</w:pPr>
          </w:p>
          <w:p w14:paraId="50280436" w14:textId="37DC924C" w:rsidR="008B34AE" w:rsidRPr="008B34AE" w:rsidRDefault="008B34AE" w:rsidP="008B34A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8B34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  <w:t>Shodno programskoj profilaciji, CNP je u 2024. godini realizovalo je 5 premijera, 14 repriznih predstava, muzički i filmski program, kao i brojne prateće programske aktivnosti.</w:t>
            </w:r>
          </w:p>
          <w:p w14:paraId="244260C0" w14:textId="632447C1" w:rsidR="008B34AE" w:rsidRDefault="008B34AE" w:rsidP="008B34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8B34A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Repertoar CNP-a realizovan je na Velikoj sceni i na Sceni Studio.</w:t>
            </w:r>
          </w:p>
          <w:p w14:paraId="6591DBE7" w14:textId="77777777" w:rsidR="00376075" w:rsidRPr="008B34AE" w:rsidRDefault="00376075" w:rsidP="008B34A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</w:p>
          <w:p w14:paraId="7A363936" w14:textId="6F2B9BA3" w:rsidR="00376075" w:rsidRPr="00622574" w:rsidRDefault="0067094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lastRenderedPageBreak/>
              <w:t xml:space="preserve">Ukupno je realizovano </w:t>
            </w:r>
            <w:r w:rsidR="00CB11BC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1</w:t>
            </w:r>
            <w:r w:rsidR="00376075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44 </w:t>
            </w:r>
            <w:r w:rsidR="00CB11BC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programa</w:t>
            </w:r>
            <w:r w:rsidR="00CB11B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što </w:t>
            </w:r>
            <w:r w:rsidR="00CB11B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uključuj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e</w:t>
            </w:r>
            <w:r w:rsidR="00CB11B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programe izvedene na matičnoj sceni i </w:t>
            </w:r>
            <w:r w:rsidR="0022752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međusobna </w:t>
            </w:r>
            <w:r w:rsidR="00CB11B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gostovanj</w:t>
            </w:r>
            <w:r w:rsidR="0022752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a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622574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(</w:t>
            </w:r>
            <w:r w:rsidR="0037607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123 </w:t>
            </w:r>
            <w:r w:rsidRPr="00622574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programa izveden</w:t>
            </w:r>
            <w:r w:rsidR="0037607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a</w:t>
            </w:r>
            <w:r w:rsidRPr="00622574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u CNP-u, </w:t>
            </w:r>
            <w:r w:rsidR="0037607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21 </w:t>
            </w:r>
            <w:r w:rsidRPr="00622574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gostovanj</w:t>
            </w:r>
            <w:r w:rsidR="0037607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e</w:t>
            </w:r>
            <w:r w:rsidRPr="00622574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 </w:t>
            </w:r>
            <w:r w:rsidR="0037607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11 </w:t>
            </w:r>
            <w:r w:rsidRPr="00622574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gostujućih predstava na sceni CNP</w:t>
            </w:r>
            <w:r w:rsidR="0022752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-a</w:t>
            </w:r>
            <w:r w:rsidRPr="00622574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).</w:t>
            </w:r>
          </w:p>
          <w:p w14:paraId="77AB8F13" w14:textId="4A008E89" w:rsidR="00302418" w:rsidRPr="007434F2" w:rsidRDefault="00703BBA" w:rsidP="00703BBA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</w:t>
            </w:r>
            <w:r w:rsidR="005B59A7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ok</w:t>
            </w:r>
            <w:r w:rsidR="00ED2FC4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om 202</w:t>
            </w:r>
            <w:r w:rsidR="008B34AE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4</w:t>
            </w:r>
            <w:r w:rsidR="00ED2FC4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 godine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,</w:t>
            </w:r>
            <w:r w:rsidR="00ED2FC4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B59A7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CNP je imao </w:t>
            </w:r>
            <w:r w:rsidR="008B34AE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28.221</w:t>
            </w:r>
            <w:r w:rsidR="0062257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B59A7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posjeti</w:t>
            </w:r>
            <w:r w:rsidR="008B34AE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oca</w:t>
            </w:r>
            <w:r w:rsidR="00ED2FC4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  <w:tbl>
            <w:tblPr>
              <w:tblStyle w:val="PlainTable4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9209"/>
            </w:tblGrid>
            <w:tr w:rsidR="00670FBD" w:rsidRPr="007434F2" w14:paraId="191B3BE3" w14:textId="77777777" w:rsidTr="000312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09" w:type="dxa"/>
                </w:tcPr>
                <w:p w14:paraId="0B9CCAC2" w14:textId="77777777" w:rsidR="00302418" w:rsidRPr="007434F2" w:rsidRDefault="00302418" w:rsidP="00096A40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</w:pPr>
                </w:p>
              </w:tc>
            </w:tr>
            <w:tr w:rsidR="00670FBD" w:rsidRPr="007434F2" w14:paraId="56C86DF7" w14:textId="77777777" w:rsidTr="000312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09" w:type="dxa"/>
                  <w:shd w:val="clear" w:color="auto" w:fill="FFFFFF" w:themeFill="background1"/>
                </w:tcPr>
                <w:p w14:paraId="4541A558" w14:textId="4C8F042C" w:rsidR="00703BBA" w:rsidRPr="007434F2" w:rsidRDefault="00703BBA" w:rsidP="00703BBA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7434F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Premijere</w:t>
                  </w:r>
                </w:p>
                <w:p w14:paraId="313FFA61" w14:textId="77777777" w:rsidR="00703BBA" w:rsidRPr="007434F2" w:rsidRDefault="00703BBA" w:rsidP="00703BBA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</w:p>
                <w:p w14:paraId="0270FE69" w14:textId="36D9BDC6" w:rsidR="00703BBA" w:rsidRPr="007434F2" w:rsidRDefault="00703BBA" w:rsidP="00703BBA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</w:pPr>
                  <w:r w:rsidRPr="007434F2"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  <w:t>U kategoriji novih produkcija, u 202</w:t>
                  </w:r>
                  <w:r w:rsidR="00F70E93"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  <w:t>4</w:t>
                  </w:r>
                  <w:r w:rsidRPr="007434F2"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  <w:t xml:space="preserve">.godini realizovano je </w:t>
                  </w:r>
                  <w:r w:rsidR="00F70E93"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  <w:t>pet</w:t>
                  </w:r>
                  <w:r w:rsidRPr="007434F2"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  <w:t xml:space="preserve"> (</w:t>
                  </w:r>
                  <w:r w:rsidR="00F70E93"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  <w:t>5</w:t>
                  </w:r>
                  <w:r w:rsidRPr="007434F2"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  <w:t>) premijera:</w:t>
                  </w:r>
                </w:p>
                <w:p w14:paraId="2855FD2E" w14:textId="6E8C5F3D" w:rsidR="00F70E93" w:rsidRPr="00F70E93" w:rsidRDefault="00F70E93" w:rsidP="008B2E3F">
                  <w:pPr>
                    <w:pStyle w:val="NoSpacing"/>
                    <w:numPr>
                      <w:ilvl w:val="0"/>
                      <w:numId w:val="36"/>
                    </w:numPr>
                    <w:spacing w:line="252" w:lineRule="auto"/>
                    <w:ind w:left="594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E97B7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“Ja sam ona koja nisam”</w:t>
                  </w:r>
                  <w:r w:rsidRPr="00F70E93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>, Mate Matišić, režija Vito Taufer, premijera: 29. januar 2024, Velika scena;</w:t>
                  </w:r>
                </w:p>
                <w:p w14:paraId="05DE9FE9" w14:textId="0B3EE7E1" w:rsidR="00F70E93" w:rsidRPr="00F70E93" w:rsidRDefault="00F70E93" w:rsidP="008B2E3F">
                  <w:pPr>
                    <w:pStyle w:val="NoSpacing"/>
                    <w:numPr>
                      <w:ilvl w:val="0"/>
                      <w:numId w:val="36"/>
                    </w:numPr>
                    <w:spacing w:line="252" w:lineRule="auto"/>
                    <w:ind w:left="594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E97B7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“Smrt i njeni hirovi“</w:t>
                  </w:r>
                  <w:r w:rsidRPr="00F70E93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>, Žoze Saramago, režija Lidija Dedović, premijera: 23. februar 2024, Scena Studio;</w:t>
                  </w:r>
                </w:p>
                <w:p w14:paraId="48A96B16" w14:textId="7E7FD99A" w:rsidR="00F70E93" w:rsidRPr="00F70E93" w:rsidRDefault="00F70E93" w:rsidP="008B2E3F">
                  <w:pPr>
                    <w:pStyle w:val="NoSpacing"/>
                    <w:numPr>
                      <w:ilvl w:val="0"/>
                      <w:numId w:val="36"/>
                    </w:numPr>
                    <w:spacing w:line="252" w:lineRule="auto"/>
                    <w:ind w:left="594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E97B7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“Ibzen mašina”</w:t>
                  </w:r>
                  <w:r w:rsidRPr="00F70E93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>, po motivima drama Henrika Ibzena „Stubovi društva“, „Heda Gabler“, „Nora“ i „Neprijatelj naroda“, režija Ana Vukotić, premijera: 28. april 2024, Velika scena;</w:t>
                  </w:r>
                </w:p>
                <w:p w14:paraId="267E02BC" w14:textId="70AD721A" w:rsidR="00F70E93" w:rsidRPr="00F70E93" w:rsidRDefault="00F70E93" w:rsidP="008B2E3F">
                  <w:pPr>
                    <w:pStyle w:val="NoSpacing"/>
                    <w:numPr>
                      <w:ilvl w:val="0"/>
                      <w:numId w:val="36"/>
                    </w:numPr>
                    <w:spacing w:line="252" w:lineRule="auto"/>
                    <w:ind w:left="594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E97B7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“Naličje”</w:t>
                  </w:r>
                  <w:r w:rsidRPr="00F70E93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>, autorski projekat Borisa Liješevića, premijera: 6. novembar 2024, Velika scena;</w:t>
                  </w:r>
                </w:p>
                <w:p w14:paraId="4543D829" w14:textId="0232AC93" w:rsidR="004868ED" w:rsidRPr="004868ED" w:rsidRDefault="00F70E93" w:rsidP="008B2E3F">
                  <w:pPr>
                    <w:pStyle w:val="NoSpacing"/>
                    <w:numPr>
                      <w:ilvl w:val="0"/>
                      <w:numId w:val="36"/>
                    </w:numPr>
                    <w:spacing w:line="252" w:lineRule="auto"/>
                    <w:ind w:left="594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  <w:r w:rsidRPr="00E97B7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„Gospoda Glembajevi“</w:t>
                  </w:r>
                  <w:r w:rsidRPr="00F70E93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>, Miroslav Krleža, režija Danilo Marunović, premijera: 17. decembar 2024, Velika scena.</w:t>
                  </w:r>
                </w:p>
              </w:tc>
            </w:tr>
          </w:tbl>
          <w:p w14:paraId="3506B489" w14:textId="458C5201" w:rsidR="00024A8F" w:rsidRDefault="004868ED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4868E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kontekstu intenzivne produkcione aktivnosti i utvrđenog programa rada, </w:t>
            </w:r>
            <w:r w:rsidRPr="00E97B7B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započeta je i</w:t>
            </w:r>
            <w:r w:rsidRPr="004868ED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priprema šeste predstave: </w:t>
            </w:r>
            <w:r w:rsidRPr="00E97B7B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„Princeza Ksenija od Crne Gore – Izgnanička tugovanka doma Petrovića</w:t>
            </w:r>
            <w:r w:rsidR="00E97B7B" w:rsidRPr="00E97B7B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“</w:t>
            </w:r>
            <w:r w:rsidRPr="004868E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prema tekstu i u režiji Radmile Vojvodić, koja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je </w:t>
            </w:r>
            <w:r w:rsidRPr="004868E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premijerno izvedena u februaru 2025. godine u Podgorici i na Cetinju, a realiz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ovana je</w:t>
            </w:r>
            <w:r w:rsidRPr="004868E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u saradnji s Kraljevskim pozorištem „Zetski dom“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</w:p>
          <w:p w14:paraId="7ECABB89" w14:textId="1F940892" w:rsidR="0022752F" w:rsidRPr="0022752F" w:rsidRDefault="0022752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22752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Takođe, 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nakon duže pauze obnovljena je i predstava </w:t>
            </w:r>
            <w:r w:rsidRPr="0022752F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„Smrt i djevojka“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po tekstu Arijela Dorfmana, u režiji Gorana Bulajića.</w:t>
            </w:r>
          </w:p>
          <w:p w14:paraId="1DCA6859" w14:textId="4A028909" w:rsidR="004868ED" w:rsidRPr="004868ED" w:rsidRDefault="0022752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Pored navedenog, z</w:t>
            </w:r>
            <w:r w:rsidR="004868ED" w:rsidRPr="004868E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a 71. sezonu CNP je otkupilo prava za izvođenje predstave </w:t>
            </w:r>
            <w:r w:rsidR="004868ED" w:rsidRPr="00AD4AE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„U Edenu na Istoku“</w:t>
            </w:r>
            <w:r w:rsidR="004868ED" w:rsidRPr="004868E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prema Bor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="004868ED" w:rsidRPr="004868E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slavu Pekiću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</w:t>
            </w:r>
            <w:r w:rsidR="004868ED" w:rsidRPr="004868E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 režiji Mila Vučinića, koja je nastala u okviru magistarskog rada na Fakultetu dramskih umjetnosti (FDU) Cetinje.</w:t>
            </w:r>
          </w:p>
          <w:p w14:paraId="07FF308F" w14:textId="77777777" w:rsidR="004868ED" w:rsidRDefault="004868ED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54F82D46" w14:textId="30FA7963" w:rsidR="00140D4F" w:rsidRPr="007434F2" w:rsidRDefault="00140D4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Reprizna izvođenja predstava</w:t>
            </w:r>
          </w:p>
          <w:p w14:paraId="5205248B" w14:textId="77777777" w:rsidR="00802306" w:rsidRPr="007434F2" w:rsidRDefault="00802306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1334E798" w14:textId="79B84DC9" w:rsidR="00024A8F" w:rsidRPr="00024A8F" w:rsidRDefault="00024A8F" w:rsidP="00024A8F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Osim premijera, repertoar su u izvještajnom periodu činila i reprizna izvođenj</w:t>
            </w:r>
            <w:r w:rsidR="00BA408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</w:t>
            </w: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predstava na Velikoj sceni i Sceni Studio i to:</w:t>
            </w:r>
          </w:p>
          <w:p w14:paraId="6FA56BE9" w14:textId="77777777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“Šćeri moja”, Maja Todorović, adaptacija i režija Ana Vukotić;</w:t>
            </w:r>
          </w:p>
          <w:p w14:paraId="3829C49A" w14:textId="77777777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“Bladi mun”, tekst i režija Ana Đorđević;</w:t>
            </w:r>
          </w:p>
          <w:p w14:paraId="356824A2" w14:textId="77777777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“The beauty queen”, Martin Makdona, režija Ana Vukotić;</w:t>
            </w:r>
          </w:p>
          <w:p w14:paraId="775228C6" w14:textId="77777777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“Očevi su grad(ili)”, autorski projekat Borisa Liješevića;</w:t>
            </w:r>
          </w:p>
          <w:p w14:paraId="25F3308A" w14:textId="77777777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„Proces“, Alber Kami, režija Dušanka Belada;</w:t>
            </w:r>
          </w:p>
          <w:p w14:paraId="7D99D44D" w14:textId="77777777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„Jerma“, Sajmon Stoun, režija Ana Tomović;</w:t>
            </w:r>
          </w:p>
          <w:p w14:paraId="11729AB1" w14:textId="77777777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„Pokojnik“, Branislav Nušić, režija Egon Savin;</w:t>
            </w:r>
          </w:p>
          <w:p w14:paraId="74A53092" w14:textId="2E8D0EEF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„671-Lov“, tekst i režija Hana Rastoder</w:t>
            </w:r>
            <w:r w:rsidR="00BA408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00453AB1" w14:textId="7482A47D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„Brod“, tekst i režija Ana Đorđević</w:t>
            </w:r>
            <w:r w:rsidR="00BA408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7AE95045" w14:textId="52ED3C0E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„Posjeta“, Fridrih Direnmat, režija Aleksandar Morfov</w:t>
            </w:r>
            <w:r w:rsidR="00BA408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63B95B34" w14:textId="7225CD9C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lastRenderedPageBreak/>
              <w:t>„Nesporazum“, Alber Kami, režija Damjan Pejanović</w:t>
            </w:r>
            <w:r w:rsidR="00BA408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58ECD6F2" w14:textId="2F4DC26C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„Smrt i djevojka“, Ariel Dorfman, režija Goran Bulajić</w:t>
            </w:r>
            <w:r w:rsidR="00BA408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10FEE1D3" w14:textId="552880AD" w:rsidR="00024A8F" w:rsidRPr="00024A8F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„Mali bračni zločini“, Erik Emanuel Šmit, režija Marija Đurić, Pavle Bogojević</w:t>
            </w:r>
            <w:r w:rsidR="00BA408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1D2A2250" w14:textId="77777777" w:rsidR="00024A8F" w:rsidRPr="005A63AA" w:rsidRDefault="00024A8F" w:rsidP="00731A96">
            <w:pPr>
              <w:pStyle w:val="ListParagraph"/>
              <w:numPr>
                <w:ilvl w:val="0"/>
                <w:numId w:val="3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“Soulfood”, autorski projekat glumca Slavka Kalezića.</w:t>
            </w:r>
          </w:p>
          <w:p w14:paraId="28C26752" w14:textId="77777777" w:rsidR="005A63AA" w:rsidRDefault="005A63AA" w:rsidP="005A63AA">
            <w:pPr>
              <w:pStyle w:val="ListParagraph"/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6AB78E0E" w14:textId="3FB76AFA" w:rsidR="005A63AA" w:rsidRDefault="005A63AA" w:rsidP="005A63AA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CNP je realizovao 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i </w:t>
            </w: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značajan broj muzičko-scenskih, filmskih i pratećih programa.</w:t>
            </w:r>
          </w:p>
          <w:p w14:paraId="1ED1A207" w14:textId="77777777" w:rsidR="005A63AA" w:rsidRPr="00AF24F6" w:rsidRDefault="005A63AA" w:rsidP="005A63AA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6B41B271" w14:textId="59F98CEC" w:rsidR="005A63AA" w:rsidRPr="00ED0DBD" w:rsidRDefault="005A63AA" w:rsidP="005A63AA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ED0DBD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U okviru muzičkog programskog segmenta </w:t>
            </w:r>
            <w:r w:rsidRPr="00ED0DB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CNP je realizovalo 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šest (</w:t>
            </w:r>
            <w:r w:rsidRPr="00ED0DB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)</w:t>
            </w:r>
            <w:r w:rsidRPr="00ED0DB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muzičko-scenskih programa renomiranih internacionalnih i domaćih umjetnika i ansambala:</w:t>
            </w:r>
          </w:p>
          <w:p w14:paraId="52679954" w14:textId="77777777" w:rsidR="005A63AA" w:rsidRPr="00AF24F6" w:rsidRDefault="005A63AA" w:rsidP="005A63AA">
            <w:pPr>
              <w:pStyle w:val="ListParagraph"/>
              <w:numPr>
                <w:ilvl w:val="0"/>
                <w:numId w:val="3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Koncert „Love duets“ – Irene Molinari, mecosopran, Mickael Spadaccini, tenor, Kristin Okrelund, pijanistkinja;</w:t>
            </w:r>
          </w:p>
          <w:p w14:paraId="6B720427" w14:textId="77777777" w:rsidR="005A63AA" w:rsidRPr="00AF24F6" w:rsidRDefault="005A63AA" w:rsidP="005A63AA">
            <w:pPr>
              <w:pStyle w:val="ListParagraph"/>
              <w:numPr>
                <w:ilvl w:val="0"/>
                <w:numId w:val="3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Muzičko-scensko djelo Puccini 100: „L'altro Giacomo – Čovjek i umjetnik“ - </w:t>
            </w: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Renato Raimo, Chiara Maria Battaglia, Rachel Stellaci, sopran, Davide Piaggio, tenor, Carlo Bernini, maestro;</w:t>
            </w:r>
          </w:p>
          <w:p w14:paraId="101647CE" w14:textId="77777777" w:rsidR="005A63AA" w:rsidRPr="00AF24F6" w:rsidRDefault="005A63AA" w:rsidP="005A63AA">
            <w:pPr>
              <w:pStyle w:val="ListParagraph"/>
              <w:numPr>
                <w:ilvl w:val="0"/>
                <w:numId w:val="3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Gala koncert Fondacije Miloša Karadaglića i CNP-a – Andreas Otenzamer, dirigent, Miloš Karadaglić, gitara, Petra Radulović, sopran, Kosta Popović, violončelo, gudački ansambl Crnogorskog simfonijskog orkestra;</w:t>
            </w:r>
          </w:p>
          <w:p w14:paraId="41CD5239" w14:textId="77777777" w:rsidR="005A63AA" w:rsidRPr="00AF24F6" w:rsidRDefault="005A63AA" w:rsidP="005A63AA">
            <w:pPr>
              <w:pStyle w:val="ListParagraph"/>
              <w:numPr>
                <w:ilvl w:val="0"/>
                <w:numId w:val="3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Operska predstava „Jedino lice sreće“ – Sara Vujošević – Jovanović, dirignet Oleksij Molčanov, Tanja Bogdanović, vođenje instrumentalnog ansambla;</w:t>
            </w:r>
          </w:p>
          <w:p w14:paraId="7CD82ADF" w14:textId="77777777" w:rsidR="005A63AA" w:rsidRPr="00AF24F6" w:rsidRDefault="005A63AA" w:rsidP="005A63AA">
            <w:pPr>
              <w:pStyle w:val="ListParagraph"/>
              <w:numPr>
                <w:ilvl w:val="0"/>
                <w:numId w:val="3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„Krik“ – Bletska trupa Ballo;</w:t>
            </w:r>
          </w:p>
          <w:p w14:paraId="0BF1A8DF" w14:textId="77777777" w:rsidR="005A63AA" w:rsidRPr="00735CF6" w:rsidRDefault="005A63AA" w:rsidP="005A63AA">
            <w:pPr>
              <w:pStyle w:val="ListParagraph"/>
              <w:numPr>
                <w:ilvl w:val="0"/>
                <w:numId w:val="3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„Pepeljuga“ Baletska škola „Princeza Ksenija“ (dva izvođenja).</w:t>
            </w:r>
          </w:p>
          <w:p w14:paraId="50E8303A" w14:textId="77777777" w:rsidR="005A63AA" w:rsidRPr="00AF24F6" w:rsidRDefault="005A63AA" w:rsidP="005A63AA">
            <w:pPr>
              <w:pStyle w:val="ListParagraph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768F0A44" w14:textId="77777777" w:rsidR="005A63AA" w:rsidRPr="00ED0DBD" w:rsidRDefault="005A63AA" w:rsidP="005A63AA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ED0DBD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 filmskom programu</w:t>
            </w:r>
            <w:r w:rsidRPr="00ED0DB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prikazano je deset (10) ostvarenja: </w:t>
            </w:r>
          </w:p>
          <w:p w14:paraId="6889D3CD" w14:textId="5307BB27" w:rsidR="005A63AA" w:rsidRPr="00AF24F6" w:rsidRDefault="005A63AA" w:rsidP="005A63AA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702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Veče kratkih filmova Vlatka Gilića: „In continuo“, „Homo Sapiens“, „Ljubav“, „Dan više“;</w:t>
            </w:r>
          </w:p>
          <w:p w14:paraId="0A8F5E7B" w14:textId="77777777" w:rsidR="005A63AA" w:rsidRPr="00AF24F6" w:rsidRDefault="005A63AA" w:rsidP="005A63AA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702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„Mali ljubavni bog”, režija Željko Sošić;</w:t>
            </w:r>
          </w:p>
          <w:p w14:paraId="39284397" w14:textId="77777777" w:rsidR="005A63AA" w:rsidRPr="00AF24F6" w:rsidRDefault="005A63AA" w:rsidP="005A63AA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702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„Čovjek koga treba ubiti““, režija Veljko Bulajić;</w:t>
            </w:r>
          </w:p>
          <w:p w14:paraId="58B5C674" w14:textId="77777777" w:rsidR="005A63AA" w:rsidRPr="00AF24F6" w:rsidRDefault="005A63AA" w:rsidP="005A63AA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70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„Pontonovo srce“, režija Senad Šahmanović, podgorička premijera;</w:t>
            </w:r>
          </w:p>
          <w:p w14:paraId="508B3EBC" w14:textId="77777777" w:rsidR="005A63AA" w:rsidRPr="00AF24F6" w:rsidRDefault="005A63AA" w:rsidP="005A63AA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70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„Stanić, Stoljeće“, režija Andro Martinović;</w:t>
            </w:r>
          </w:p>
          <w:p w14:paraId="08F29009" w14:textId="77777777" w:rsidR="005A63AA" w:rsidRPr="00AF24F6" w:rsidRDefault="005A63AA" w:rsidP="005A63AA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70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„Ispod mosta, među stijenama“, režija Pavle Simonović;</w:t>
            </w:r>
          </w:p>
          <w:p w14:paraId="5C8C65A9" w14:textId="77777777" w:rsidR="005A63AA" w:rsidRPr="00AF24F6" w:rsidRDefault="005A63AA" w:rsidP="005A63AA">
            <w:pPr>
              <w:pStyle w:val="ListParagraph"/>
              <w:numPr>
                <w:ilvl w:val="0"/>
                <w:numId w:val="23"/>
              </w:numPr>
              <w:spacing w:line="252" w:lineRule="auto"/>
              <w:ind w:left="70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„Šagargur“, režija Nataša Nelević, premijera.</w:t>
            </w:r>
          </w:p>
          <w:p w14:paraId="1124EDAC" w14:textId="77777777" w:rsidR="005A63AA" w:rsidRPr="00AF24F6" w:rsidRDefault="005A63AA" w:rsidP="005A63AA">
            <w:pPr>
              <w:pStyle w:val="ListParagraph"/>
              <w:spacing w:line="252" w:lineRule="auto"/>
              <w:ind w:left="115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</w:p>
          <w:p w14:paraId="50BE9AD4" w14:textId="77777777" w:rsidR="005A63AA" w:rsidRPr="00ED0DBD" w:rsidRDefault="005A63AA" w:rsidP="005A63AA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C2CC0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Realizovani su i sljedeći </w:t>
            </w:r>
            <w:r w:rsidRPr="00ED0DBD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prateći programi:</w:t>
            </w:r>
          </w:p>
          <w:p w14:paraId="3B468B76" w14:textId="77777777" w:rsidR="005A63AA" w:rsidRPr="00AF24F6" w:rsidRDefault="005A63AA" w:rsidP="005A63AA">
            <w:pPr>
              <w:pStyle w:val="ListParagraph"/>
              <w:numPr>
                <w:ilvl w:val="0"/>
                <w:numId w:val="2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Okrugli sto na temu „Petrovići Njegoši i razvoj pozorišta u Crnoj Gori – legitimacija do danas“ povodom Njegoševog dana – crnogorskog praznika kulture;</w:t>
            </w:r>
          </w:p>
          <w:p w14:paraId="1C60FC8B" w14:textId="77777777" w:rsidR="005A63AA" w:rsidRPr="00AF24F6" w:rsidRDefault="005A63AA" w:rsidP="005A63AA">
            <w:pPr>
              <w:pStyle w:val="ListParagraph"/>
              <w:numPr>
                <w:ilvl w:val="0"/>
                <w:numId w:val="2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Centralna svečanost Ministarstva kulture povodom Njegoševog dana;</w:t>
            </w:r>
          </w:p>
          <w:p w14:paraId="4FC52FB2" w14:textId="77777777" w:rsidR="005A63AA" w:rsidRPr="00AF24F6" w:rsidRDefault="005A63AA" w:rsidP="005A63AA">
            <w:pPr>
              <w:pStyle w:val="ListParagraph"/>
              <w:numPr>
                <w:ilvl w:val="0"/>
                <w:numId w:val="2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Konferencija „Savremeno dramsko stvaralaštvo – strategije pisanja, izvođenja i prevođenja“ povodom 30 godina Fakulteta dramskih umjetnosti Cetinje;</w:t>
            </w:r>
          </w:p>
          <w:p w14:paraId="5AC39947" w14:textId="77777777" w:rsidR="005A63AA" w:rsidRPr="00AF24F6" w:rsidRDefault="005A63AA" w:rsidP="005A63AA">
            <w:pPr>
              <w:pStyle w:val="ListParagraph"/>
              <w:numPr>
                <w:ilvl w:val="0"/>
                <w:numId w:val="2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Svečana akademija povodom 30 godina FDU Cetinje;</w:t>
            </w:r>
          </w:p>
          <w:p w14:paraId="1CDC1BED" w14:textId="77777777" w:rsidR="005A63AA" w:rsidRPr="00AF24F6" w:rsidRDefault="005A63AA" w:rsidP="005A63AA">
            <w:pPr>
              <w:pStyle w:val="ListParagraph"/>
              <w:numPr>
                <w:ilvl w:val="0"/>
                <w:numId w:val="2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Javna čitanja savremene crnogorske drame;</w:t>
            </w:r>
          </w:p>
          <w:p w14:paraId="4328127D" w14:textId="77777777" w:rsidR="005A63AA" w:rsidRPr="00AF24F6" w:rsidRDefault="005A63AA" w:rsidP="005A63AA">
            <w:pPr>
              <w:pStyle w:val="ListParagraph"/>
              <w:numPr>
                <w:ilvl w:val="0"/>
                <w:numId w:val="2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Promocija knjige - Jan Fabre „From Act to Acting“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u saradnji sa FDU Cetinje</w:t>
            </w: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735A1282" w14:textId="77777777" w:rsidR="005A63AA" w:rsidRPr="00AF24F6" w:rsidRDefault="005A63AA" w:rsidP="005A63AA">
            <w:pPr>
              <w:pStyle w:val="ListParagraph"/>
              <w:numPr>
                <w:ilvl w:val="0"/>
                <w:numId w:val="2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Dan sjećanja na žrtve holokausta Hor Hašir – Jevrejska zajednica u Crnoj Gori;</w:t>
            </w:r>
          </w:p>
          <w:p w14:paraId="618501E8" w14:textId="77777777" w:rsidR="005A63AA" w:rsidRPr="00AF24F6" w:rsidRDefault="005A63AA" w:rsidP="005A63AA">
            <w:pPr>
              <w:pStyle w:val="ListParagraph"/>
              <w:numPr>
                <w:ilvl w:val="0"/>
                <w:numId w:val="2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Multimedijalni projekat „Pogledaj unutar sebe“, režija Žana Gardešević-Bulatović, CEMOI.</w:t>
            </w:r>
          </w:p>
          <w:p w14:paraId="0B74A734" w14:textId="77777777" w:rsidR="005A63AA" w:rsidRPr="00024A8F" w:rsidRDefault="005A63AA" w:rsidP="005A63AA">
            <w:pPr>
              <w:pStyle w:val="ListParagraph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34209425" w14:textId="77777777" w:rsidR="005A63AA" w:rsidRDefault="005A63AA" w:rsidP="005A63AA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lastRenderedPageBreak/>
              <w:t>Gostovanja</w:t>
            </w:r>
          </w:p>
          <w:p w14:paraId="60E0278E" w14:textId="77777777" w:rsidR="005A63AA" w:rsidRDefault="005A63AA" w:rsidP="005A63AA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125A63CE" w14:textId="77777777" w:rsidR="005A63AA" w:rsidRPr="00E6703D" w:rsidRDefault="005A63AA" w:rsidP="005A63AA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 CNP-u su gostovala sljedeća pozorišta, teatarske grupe i ansambli:</w:t>
            </w:r>
          </w:p>
          <w:p w14:paraId="30B39AEC" w14:textId="77777777" w:rsidR="005A63AA" w:rsidRPr="00E6703D" w:rsidRDefault="005A63AA" w:rsidP="005A63AA">
            <w:pPr>
              <w:pStyle w:val="ListParagraph"/>
              <w:numPr>
                <w:ilvl w:val="0"/>
                <w:numId w:val="3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Kraljevsko pozorište „Zetski dom“: “Bog masakra”, Jasmina Reza, režija Siniša Evtimov, „Ana Karenjina“, u koprodukciji sa „Praznim prostorom“, Lav N. Tolstoj, režija Mirko Radonjić;</w:t>
            </w:r>
          </w:p>
          <w:p w14:paraId="754B1557" w14:textId="77777777" w:rsidR="005A63AA" w:rsidRPr="00E6703D" w:rsidRDefault="005A63AA" w:rsidP="005A63AA">
            <w:pPr>
              <w:pStyle w:val="ListParagraph"/>
              <w:numPr>
                <w:ilvl w:val="0"/>
                <w:numId w:val="3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Nikšićko pozorište -  “Pluća”, Dankan Mekmilan, režija Andrej Nosov;</w:t>
            </w:r>
          </w:p>
          <w:p w14:paraId="5C7EA0FE" w14:textId="77777777" w:rsidR="005A63AA" w:rsidRPr="00E6703D" w:rsidRDefault="005A63AA" w:rsidP="005A63AA">
            <w:pPr>
              <w:pStyle w:val="ListParagraph"/>
              <w:numPr>
                <w:ilvl w:val="0"/>
                <w:numId w:val="3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Centar za kulturu Tivat – „Ćelava pjevačica“, Ežen Jonesko, režija Jagoš Marković;</w:t>
            </w:r>
          </w:p>
          <w:p w14:paraId="00F309D1" w14:textId="77777777" w:rsidR="005A63AA" w:rsidRPr="00E6703D" w:rsidRDefault="005A63AA" w:rsidP="005A63AA">
            <w:pPr>
              <w:pStyle w:val="ListParagraph"/>
              <w:numPr>
                <w:ilvl w:val="0"/>
                <w:numId w:val="3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Teatar „Korifej“ Kolašin – „Krst sa petokrakom“,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Velizar Radonjić, režija Zoran Rakočević;</w:t>
            </w:r>
          </w:p>
          <w:p w14:paraId="06CC4CBA" w14:textId="77777777" w:rsidR="005A63AA" w:rsidRPr="00E6703D" w:rsidRDefault="005A63AA" w:rsidP="005A63AA">
            <w:pPr>
              <w:pStyle w:val="ListParagraph"/>
              <w:numPr>
                <w:ilvl w:val="0"/>
                <w:numId w:val="3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Festival internacionalnog alternativnog teatra (FIAT): „Mirovni pregovori“, režija Blerta Neziraj, Pozorište „Quendra Multimedia“ Kosovo; „Gidionov čvor“, Džo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ne</w:t>
            </w: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Adams, režija Selma Alispahić, Scena MESS, Pozorište mladih Sarajevo i Udruženje „Intermezzo“; Duel“, režija Hristina Šormaz, Danka Sekulović, Nemanja Jovanović, Jelena Karajica, </w:t>
            </w: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 xml:space="preserve">Un Loup Pour L’Homme, Cirkorama, Cirkobalkan festival i Cirkusfera; “Nema struje za električnu stolicu”, režija Dejan Projkovski, Nacionalna ustanova Centar za kulturu 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- T</w:t>
            </w: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eat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ar</w:t>
            </w: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 xml:space="preserve"> ,,Jordan H. K. Džinot“, Veles;</w:t>
            </w:r>
          </w:p>
          <w:p w14:paraId="66A83F14" w14:textId="77777777" w:rsidR="005A63AA" w:rsidRPr="00E6703D" w:rsidRDefault="005A63AA" w:rsidP="005A63AA">
            <w:pPr>
              <w:pStyle w:val="ListParagraph"/>
              <w:numPr>
                <w:ilvl w:val="0"/>
                <w:numId w:val="3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Narodno pozorište Sarajevo - “Jedan je Muhamed Ali”, Almir Imširević, režija Dino Mustafić;</w:t>
            </w:r>
          </w:p>
          <w:p w14:paraId="5F88E0DB" w14:textId="77777777" w:rsidR="005A63AA" w:rsidRPr="00E6703D" w:rsidRDefault="005A63AA" w:rsidP="005A63AA">
            <w:pPr>
              <w:pStyle w:val="ListParagraph"/>
              <w:numPr>
                <w:ilvl w:val="0"/>
                <w:numId w:val="3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Kazalište Marina Držića Dubrovnik – “Kraljice”, Viljem Šekspir, režija Livija Pandur.</w:t>
            </w:r>
          </w:p>
          <w:p w14:paraId="21271A03" w14:textId="77777777" w:rsidR="005A63AA" w:rsidRPr="00E6703D" w:rsidRDefault="005A63AA" w:rsidP="005A63AA">
            <w:pPr>
              <w:pStyle w:val="ListParagraph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741DA081" w14:textId="77777777" w:rsidR="005A63AA" w:rsidRPr="00E6703D" w:rsidRDefault="005A63AA" w:rsidP="005A63AA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Slijedeći misiju prisutnosti na domaćoj i regionalnoj teatarskoj sceni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E6703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CNP je gostovalo u Kraljevskom pozorištu „Zetski dom“ na Cetinju, Nikšićkom pozorištu, Centru za kulturu Tivat, Centru za kulturu Berane, Centru za kuturu Bijelo Polje, Centru za kulturu Bar, Centru za kulturu Kotor, ali i Narodnom pozorištu Beograd, Narodnom pozorištu Sarajevo, Kazalištu Marina Držića u Dubrovniku.</w:t>
            </w:r>
          </w:p>
          <w:p w14:paraId="7B6F37B1" w14:textId="77777777" w:rsidR="005A63AA" w:rsidRDefault="005A63AA" w:rsidP="00024A8F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28332FF7" w14:textId="7E9A2AF7" w:rsidR="00024A8F" w:rsidRPr="00024A8F" w:rsidRDefault="00024A8F" w:rsidP="00024A8F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Učešće na festivalima i nagrade</w:t>
            </w:r>
          </w:p>
          <w:p w14:paraId="4EC3E0E9" w14:textId="77777777" w:rsidR="00024A8F" w:rsidRPr="00024A8F" w:rsidRDefault="00024A8F" w:rsidP="00024A8F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4B981DBD" w14:textId="77777777" w:rsidR="00024A8F" w:rsidRPr="00024A8F" w:rsidRDefault="00024A8F" w:rsidP="00024A8F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CNP je učestvovalo na trinaest (13) manifestacija i festivala, na kojima je osvojeno pet (5) nagrada:</w:t>
            </w:r>
          </w:p>
          <w:p w14:paraId="62FB8412" w14:textId="1DA5856D" w:rsidR="00024A8F" w:rsidRPr="00024A8F" w:rsidRDefault="00BA4081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BA408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Festival </w:t>
            </w:r>
            <w:r w:rsidR="00024A8F" w:rsidRPr="00BA4081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MESS Sarajevo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BA408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29. izdanje programskog segmenta „Modul memorije“ </w:t>
            </w:r>
            <w:r w:rsidR="00024A8F" w:rsidRPr="00BA408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–</w:t>
            </w:r>
            <w:r w:rsidR="00024A8F"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predstava „671-Lov“;</w:t>
            </w:r>
          </w:p>
          <w:p w14:paraId="66069FC5" w14:textId="77777777" w:rsidR="00024A8F" w:rsidRPr="00024A8F" w:rsidRDefault="00024A8F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29. Jugoslovenski pozorišni festival „Bez prevoda“ Užice</w:t>
            </w: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– predstava „Ibzen mašina“, dok je </w:t>
            </w:r>
            <w:r w:rsidRPr="007413A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Nagrada Ardalion</w:t>
            </w: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za najbolju scenografiju pripala Vanji Magiću za istoimenu predstavu;</w:t>
            </w:r>
          </w:p>
          <w:p w14:paraId="272C44B9" w14:textId="77777777" w:rsidR="00024A8F" w:rsidRPr="00024A8F" w:rsidRDefault="00024A8F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20. Međunarodni festival glumca Nikšić</w:t>
            </w: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– predstava „Ja sam ona koja nisam“, na kojem je </w:t>
            </w:r>
            <w:r w:rsidRPr="007413A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Gran prix za najbolju žensku epizodnu ulogu</w:t>
            </w: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dobila Varja Đukić;</w:t>
            </w:r>
          </w:p>
          <w:p w14:paraId="68554638" w14:textId="77777777" w:rsidR="00024A8F" w:rsidRPr="00024A8F" w:rsidRDefault="00024A8F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8. Priština internacionalni pozorišni festival</w:t>
            </w: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– predstava „Bladi mun“ – </w:t>
            </w:r>
            <w:r w:rsidRPr="007413A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Specijalna nagrada žirija za predstavu</w:t>
            </w: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2A73CA75" w14:textId="77777777" w:rsidR="00024A8F" w:rsidRPr="00024A8F" w:rsidRDefault="00024A8F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39. Festival internacionalnog alternativnog teatra (FIAT)</w:t>
            </w: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– predstava „Smrt i njeni hirovi“;</w:t>
            </w:r>
          </w:p>
          <w:p w14:paraId="372AA480" w14:textId="181F5019" w:rsidR="00024A8F" w:rsidRPr="00024A8F" w:rsidRDefault="00024A8F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38. Festival Grad teatar Budva</w:t>
            </w: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– predstava „Smrt i njeni hirovi“;</w:t>
            </w:r>
          </w:p>
          <w:p w14:paraId="79F58C9A" w14:textId="77777777" w:rsidR="00024A8F" w:rsidRPr="00024A8F" w:rsidRDefault="00024A8F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37. Festival „Barski ljetopis“</w:t>
            </w: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– predstava „Brod“;</w:t>
            </w:r>
          </w:p>
          <w:p w14:paraId="5C1FE26F" w14:textId="77777777" w:rsidR="00024A8F" w:rsidRPr="00024A8F" w:rsidRDefault="00024A8F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lastRenderedPageBreak/>
              <w:t>10. Međunarodni festival alternativnog teatra Korifej, Kolašin</w:t>
            </w:r>
            <w:r w:rsidRPr="00024A8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– predstava „671-Lov“;</w:t>
            </w:r>
          </w:p>
          <w:p w14:paraId="4E3EAB25" w14:textId="6D1C61A6" w:rsidR="00024A8F" w:rsidRPr="00024A8F" w:rsidRDefault="00024A8F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 Međunarodni festival „Moldfest 2024“ Kišinjev, Moldavija</w:t>
            </w:r>
            <w:r w:rsidRPr="00024A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  <w:t xml:space="preserve"> – predstava „Potonja ura Njegoševa“;</w:t>
            </w:r>
          </w:p>
          <w:p w14:paraId="553876B8" w14:textId="77777777" w:rsidR="00024A8F" w:rsidRPr="00024A8F" w:rsidRDefault="00024A8F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9. Međunarodni festival malih pozorišnih formi „Impuls“ Biškek, Kirgistan</w:t>
            </w:r>
            <w:r w:rsidRPr="00024A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  <w:t xml:space="preserve"> - predstava „Potonja ura Njegoševa“, </w:t>
            </w:r>
            <w:r w:rsidRPr="007413A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priznanje</w:t>
            </w:r>
            <w:r w:rsidRPr="00024A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  <w:t xml:space="preserve"> Slobodanu Marunoviću za „veličanstvenu scensku kreaciju istorijske ličnosti“;</w:t>
            </w:r>
          </w:p>
          <w:p w14:paraId="722F473C" w14:textId="77777777" w:rsidR="00024A8F" w:rsidRPr="00024A8F" w:rsidRDefault="00024A8F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Međunarodni pozorišni festival „Brooklyn Bridge“</w:t>
            </w:r>
            <w:r w:rsidRPr="00024A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  <w:t xml:space="preserve"> </w:t>
            </w:r>
            <w:r w:rsidRPr="007413A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pozorišnog studija Essence u Njujorku, SAD</w:t>
            </w:r>
            <w:r w:rsidRPr="00024A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  <w:t xml:space="preserve"> - predstava „Potonja ura Njegoševa“;</w:t>
            </w:r>
          </w:p>
          <w:p w14:paraId="1ACCB333" w14:textId="77777777" w:rsidR="00024A8F" w:rsidRPr="00024A8F" w:rsidRDefault="00024A8F" w:rsidP="00731A96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Međunarodni pozorišni festival „Voices“ Nju Džerzi, SAD</w:t>
            </w:r>
            <w:r w:rsidRPr="00024A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  <w:t xml:space="preserve"> - predstava „Potonja ura Njegoševa“;</w:t>
            </w:r>
          </w:p>
          <w:p w14:paraId="02D1C702" w14:textId="18700A27" w:rsidR="00AF24F6" w:rsidRPr="005A63AA" w:rsidRDefault="00024A8F" w:rsidP="005A63AA">
            <w:pPr>
              <w:pStyle w:val="ListParagraph"/>
              <w:numPr>
                <w:ilvl w:val="0"/>
                <w:numId w:val="3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7413A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Internacionalni kamerni festival „Most“ Hanover, Njemačka</w:t>
            </w:r>
            <w:r w:rsidRPr="00024A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  <w:t xml:space="preserve"> – predstava „Potonja ura Njegoševa“, </w:t>
            </w:r>
            <w:r w:rsidRPr="007413A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Nagrada</w:t>
            </w:r>
            <w:r w:rsidRPr="00024A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  <w:t xml:space="preserve"> Slobodanu Marunoviću za „briljantno oličenje istorijske ličnosti“.</w:t>
            </w:r>
          </w:p>
        </w:tc>
      </w:tr>
    </w:tbl>
    <w:p w14:paraId="4776ED30" w14:textId="77777777" w:rsidR="000C359C" w:rsidRPr="007434F2" w:rsidRDefault="000C359C" w:rsidP="00096A40">
      <w:pPr>
        <w:spacing w:after="0" w:line="252" w:lineRule="auto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0FBD" w:rsidRPr="007434F2" w14:paraId="69B228EE" w14:textId="77777777" w:rsidTr="005C3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8761285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</w:p>
          <w:p w14:paraId="24B1481E" w14:textId="66FE6F21" w:rsidR="005C31B3" w:rsidRPr="00D841AA" w:rsidRDefault="005C31B3" w:rsidP="00096A4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  <w:r w:rsidRPr="00D841AA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IV</w:t>
            </w:r>
            <w:r w:rsidR="00FD0B3E" w:rsidRPr="00D841AA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</w:t>
            </w:r>
            <w:r w:rsidR="00D841AA" w:rsidRPr="00D841AA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</w:t>
            </w:r>
            <w:r w:rsidR="00FD0B3E" w:rsidRPr="00D841AA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DOMAĆA, REGIONALNA I MEĐUNARODNA SARADNJA</w:t>
            </w:r>
          </w:p>
          <w:p w14:paraId="40286B88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</w:p>
        </w:tc>
      </w:tr>
      <w:tr w:rsidR="00670FBD" w:rsidRPr="007434F2" w14:paraId="7170BC66" w14:textId="77777777" w:rsidTr="005C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7835EA6" w14:textId="77777777" w:rsidR="00F10634" w:rsidRPr="00AF24F6" w:rsidRDefault="005C31B3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AF24F6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Imajući u vidu činjenicu da su ravnomjeran razvoj kulture i disperzija programa propisani javni interes, </w:t>
            </w:r>
            <w:r w:rsidRPr="00AF24F6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 cilju ostvarivanja svoje djelatnosti, ali i doprinosa jačanju cjelokupnog pozorišnog</w:t>
            </w:r>
            <w:r w:rsidR="00BB728C" w:rsidRPr="00AF24F6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 sektora kulture, </w:t>
            </w:r>
            <w:r w:rsidR="00FD0B3E" w:rsidRPr="00AF24F6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CNP </w:t>
            </w:r>
            <w:r w:rsidRPr="00AF24F6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je tokom prošle godine </w:t>
            </w:r>
            <w:r w:rsidR="008C2E07" w:rsidRPr="00AF24F6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nastavi</w:t>
            </w:r>
            <w:r w:rsidR="00BB728C" w:rsidRPr="00AF24F6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l</w:t>
            </w:r>
            <w:r w:rsidR="008C2E07" w:rsidRPr="00AF24F6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</w:t>
            </w:r>
            <w:r w:rsidR="006A38A4" w:rsidRPr="00AF24F6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AF24F6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saradnju s institucijama i organizacijama javnog, privatnog i nezavisnog sektora u kulturi</w:t>
            </w:r>
            <w:r w:rsidR="00906DCA" w:rsidRPr="00AF24F6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.</w:t>
            </w:r>
          </w:p>
          <w:p w14:paraId="4F19E804" w14:textId="57EB0609" w:rsidR="004A79A9" w:rsidRDefault="00906DCA" w:rsidP="00096A40">
            <w:pPr>
              <w:spacing w:line="252" w:lineRule="auto"/>
              <w:jc w:val="both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sr-Latn-ME"/>
              </w:rPr>
            </w:pPr>
            <w:r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</w:t>
            </w:r>
            <w:r w:rsidR="00FD0B3E"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tom kontekstu CNP je</w:t>
            </w:r>
            <w:r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ostvarilo saradnju sa Televizijom Crne Gore, Fakultetom dramskih umjetnosti, Centrom za kulturu Tivat, Kraljevskim pozorištem </w:t>
            </w:r>
            <w:r w:rsidR="00670FBD"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</w:t>
            </w:r>
            <w:r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Zetski dom</w:t>
            </w:r>
            <w:r w:rsidR="00670FBD"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“</w:t>
            </w:r>
            <w:r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Nikšićkim pozorištem, Baletskom školom “Prin</w:t>
            </w:r>
            <w:r w:rsidR="00865A20"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c</w:t>
            </w:r>
            <w:r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eza Ksenija”,</w:t>
            </w:r>
            <w:r w:rsidR="00ED0DB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A0176C"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Dramskim studiom „Prazan prostor“, </w:t>
            </w:r>
            <w:r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baletskom trupom „Ballo“</w:t>
            </w:r>
            <w:r w:rsidR="00ED0DB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</w:p>
          <w:p w14:paraId="5526E64F" w14:textId="0B3ECDE7" w:rsidR="003C77E6" w:rsidRPr="003C77E6" w:rsidRDefault="004A79A9" w:rsidP="004A79A9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3C77E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Na liniji dalje</w:t>
            </w:r>
            <w:r w:rsidR="004E3678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g</w:t>
            </w:r>
            <w:r w:rsidRPr="003C77E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unapređenja regionalne saradnje, potpisani su sporazumi o saradnji s Kazalištem "Marina Držića" iz Dubrovnika, Makedonskim narodnim teatrom iz Skoplja, Nacionalnom ustanovom Tetrom Jordan H. K. Džinot“ iz Velesa.</w:t>
            </w:r>
            <w:r w:rsidR="003C77E6" w:rsidRPr="003C77E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Saradnja je nastavljena sa nacionalnim pozorištima iz regiona sa kojima CNP ima ranije potpisane </w:t>
            </w:r>
            <w:r w:rsidR="004E3678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</w:t>
            </w:r>
            <w:r w:rsidR="003C77E6" w:rsidRPr="003C77E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rotokole o dugoročnoj saradnji koji predviđaju razmjenu predstava, učešće na pozorišnim festivalima na bazi reciprociteta, zajedničke produkcije i druge modele saradnje.</w:t>
            </w:r>
          </w:p>
          <w:p w14:paraId="2EB5043F" w14:textId="5A26618B" w:rsidR="005C31B3" w:rsidRPr="006A1BF5" w:rsidRDefault="004A79A9" w:rsidP="00096A40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CNP je redovno učestvovalo u aktivnostima Evropske teatarske konvencije</w:t>
            </w:r>
            <w:r w:rsidR="003C77E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3C77E6" w:rsidRPr="007434F2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noProof/>
                <w:sz w:val="24"/>
                <w:szCs w:val="24"/>
                <w:lang w:val="sr-Latn-ME"/>
              </w:rPr>
              <w:t>(European Theatre Convention – ETC)</w:t>
            </w:r>
            <w:r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kojoj je pristupilo </w:t>
            </w:r>
            <w:r w:rsidR="003C77E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</w:t>
            </w:r>
            <w:r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jesen</w:t>
            </w:r>
            <w:r w:rsidR="003C77E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2023</w:t>
            </w:r>
            <w:r w:rsidRPr="004A79A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  <w:r w:rsidR="003C77E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godine, kao</w:t>
            </w:r>
            <w:r w:rsidR="003C77E6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najveć</w:t>
            </w:r>
            <w:r w:rsidR="003C77E6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oj</w:t>
            </w:r>
            <w:r w:rsidR="003C77E6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 najznačajnij</w:t>
            </w:r>
            <w:r w:rsidR="003C77E6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oj</w:t>
            </w:r>
            <w:r w:rsidR="003C77E6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panevropsk</w:t>
            </w:r>
            <w:r w:rsidR="003C77E6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oj</w:t>
            </w:r>
            <w:r w:rsidR="003C77E6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mrež</w:t>
            </w:r>
            <w:r w:rsidR="003C77E6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</w:t>
            </w:r>
            <w:r w:rsidR="003C77E6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vodećih javnih pozorišta, odražavajući različitost dinamičnog kulturnog sektora na evropskom kontinentu.</w:t>
            </w:r>
            <w:r w:rsidR="003C77E6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3C77E6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Pored ostalih aktivnosti, CNP se kroz ETC uključilo u </w:t>
            </w:r>
            <w:r w:rsidR="003C77E6" w:rsidRPr="006A1BF5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projekat </w:t>
            </w:r>
            <w:r w:rsidR="003C77E6" w:rsidRPr="006A1BF5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„Theatre Green Book“ (TGB) - Zeleni priručnik za pozorišta. TGB je sveobuhvatan </w:t>
            </w:r>
            <w:r w:rsidR="006A1BF5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projekat i </w:t>
            </w:r>
            <w:r w:rsidR="003C77E6" w:rsidRPr="006A1BF5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vodič razvijen od strane Evropske Teatarske Konvencije (ETC) u saradnji sa Renew Culture. Ciljevi su: Postizanje održivosti u pozorišnom sektoru kroz smanjenje uticaja na životnu sredinu i prelazak na kružnu ekonomiju; Podrška UN ciljevima održivog razvoja, naročito u oblastima odgovorne potrošnje, klimatskih akcija i održive infrastrukture, te praćenje napretka prema neto nultoj emisiji kroz konkretne mjere. TGB pruža vodič i mjere za strukturiran pristup za održivost teatarskih produkcija, operacija i zgrada, kao i sertifikaciju sa četiri nivoa: preliminarni, osnovni, srednji i napredni. ​</w:t>
            </w:r>
          </w:p>
        </w:tc>
      </w:tr>
    </w:tbl>
    <w:p w14:paraId="0CF89B41" w14:textId="77777777" w:rsidR="004D1CB5" w:rsidRPr="007434F2" w:rsidRDefault="004D1CB5" w:rsidP="00096A40">
      <w:pPr>
        <w:spacing w:after="0" w:line="252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r-Latn-ME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0FBD" w:rsidRPr="007434F2" w14:paraId="4A23554E" w14:textId="77777777" w:rsidTr="004D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868CC61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</w:p>
          <w:p w14:paraId="27756ED2" w14:textId="5A4534EF" w:rsidR="004D1CB5" w:rsidRPr="007434F2" w:rsidRDefault="00F22DB5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     </w:t>
            </w:r>
            <w:r w:rsidR="004D1CB5" w:rsidRPr="00561F5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V </w:t>
            </w:r>
            <w:r w:rsidR="00D841AA" w:rsidRPr="00561F5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</w:t>
            </w:r>
            <w:r w:rsidR="004D1CB5" w:rsidRPr="00561F5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MARKETINŠKE I PROMOTIVNE AKTIVNOSTI</w:t>
            </w:r>
          </w:p>
          <w:p w14:paraId="5F293000" w14:textId="77777777" w:rsidR="004D1CB5" w:rsidRPr="007434F2" w:rsidRDefault="004D1CB5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</w:p>
        </w:tc>
      </w:tr>
      <w:tr w:rsidR="00670FBD" w:rsidRPr="007434F2" w14:paraId="50ECE164" w14:textId="77777777" w:rsidTr="004D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AB60650" w14:textId="77777777" w:rsidR="00AF24F6" w:rsidRDefault="00AF24F6" w:rsidP="007E6012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7BA3AAD6" w14:textId="41DDF2BD" w:rsidR="007E6012" w:rsidRPr="00D61464" w:rsidRDefault="007E6012" w:rsidP="007E6012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</w:pPr>
            <w:r w:rsidRPr="00D614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Latn-ME"/>
              </w:rPr>
              <w:t>Blagovremeno i detaljno informisanje javnosti o programima CNP-a, promocija svih repertoarskih aktivnosti u zemlji ali i u regionu, privlačenje i animacija najšire publike, bile su u fokusu svih marketing i PR aktivnosti u 2024. godini.</w:t>
            </w:r>
          </w:p>
          <w:p w14:paraId="50DDCE66" w14:textId="788D43C4" w:rsidR="007E6012" w:rsidRPr="00D61464" w:rsidRDefault="007E6012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Odnosi sa medijima, štampanim i elektronskim, internet portalima, novinskim agencijama, ostvaruju se kroz redovno kreiranje i distribuciju svih informacija i vijesti o radu CNP-a. Svakodnevno o programskim aktivnostima CNP-a izvještavaju svi domaći elektronski mediji, najčešće u emisijama iz kulture kolažnog  karaktera u kojima se najavljuju aktuelne predstave i događaji ili predstavljaju glumci i umjetnici nacionalnog teatra. Programi CNP-a (premijere, gostovanja, učešće CNP-a na festivalima) posebno se tretiraju u okviru informativnog programa (centralne informativne emisije), kao i u emisijama iz kulture i umjetnosti.</w:t>
            </w:r>
          </w:p>
          <w:p w14:paraId="6844063B" w14:textId="77777777" w:rsidR="007E6012" w:rsidRPr="00D61464" w:rsidRDefault="007E6012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Dinamika stalne prisutnosti odvija se i kroz odličnu saradnju sa svim štampanim medijima i internet portalima.</w:t>
            </w:r>
          </w:p>
          <w:p w14:paraId="14AFE3D9" w14:textId="6AC3D170" w:rsidR="007E6012" w:rsidRPr="00D61464" w:rsidRDefault="004E3678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skladu sa raspoloživim sredstvima, </w:t>
            </w:r>
            <w:r w:rsidR="007E6012"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CNP producira video spotove 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radi promocije sopstvenih i </w:t>
            </w:r>
            <w:r w:rsidR="007E6012"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gostujućih programa. Sva festivalska učešća i važna gostovanja CNP-a 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izvan zemlj</w:t>
            </w:r>
            <w:r w:rsidR="007E6012"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e prati ekipa Televizije Crne Gore. </w:t>
            </w:r>
          </w:p>
          <w:p w14:paraId="3AC4AA37" w14:textId="77777777" w:rsidR="007E6012" w:rsidRPr="00D61464" w:rsidRDefault="007E6012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Javnost se o svim programima i aktivnostima CNP-a informisala putem redovnih konferencija za medije, štampanjem i distribucijom mjesečnih repertoara (afiša), postera, plakata i kataloga, koji se dostavljaju širokom krugu potencijalnih korisnika na teritoriji Podgorice (fakulteti, škole, institucije kulture, javne ustanove, turistička organizacija, aerodrom, preduzeća, hoteli, kafići itd), ali i drugih crnogorskih gradova.</w:t>
            </w:r>
          </w:p>
          <w:p w14:paraId="25C2C42B" w14:textId="77777777" w:rsidR="007E6012" w:rsidRPr="00D61464" w:rsidRDefault="007E6012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3BEC6456" w14:textId="77777777" w:rsidR="007E6012" w:rsidRPr="00D61464" w:rsidRDefault="007E6012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 u 2024. godini jedan od ključnih PR alata čiji je cilj detaljno informisanje javnosti, interaktivnost i direktna komunikacija sa publikom, bio je web sajt (www.cnp.me), i društvene mreže - Facebook i Instagram čija je posjećenost i broj pratilaca u stalnom porastu.</w:t>
            </w:r>
          </w:p>
          <w:p w14:paraId="76D2125A" w14:textId="30F6E8F4" w:rsidR="007E6012" w:rsidRPr="00D61464" w:rsidRDefault="007E6012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2024. godini kreiran je </w:t>
            </w:r>
            <w:r w:rsidR="004E3678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V</w:t>
            </w:r>
            <w:r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iber kanal čime je CNP postiglo dodatnu prisutnost u najširoj javnosti.</w:t>
            </w:r>
          </w:p>
          <w:p w14:paraId="74170219" w14:textId="77777777" w:rsidR="007E6012" w:rsidRPr="00D61464" w:rsidRDefault="007E6012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Publici je dostupna i online platforma za rezervaciju i prodaju ulaznica (www.ulaznice.cnp.me). Osim zvaničnog sajta za prezentaciju CNP-a na internetu, koristi se i internet servis You Tube, gdje je kreiran poseban kanal posvećen pozorištu, na kome su objavljeni reklamni spotovi predstava i muzičkih programa koji se izvode u CNP-u. </w:t>
            </w:r>
          </w:p>
          <w:p w14:paraId="31B87F94" w14:textId="5312F420" w:rsidR="007E6012" w:rsidRPr="00D61464" w:rsidRDefault="007E6012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Sa ciljem animacije i privlačenja najšire javnosti i promociji reperoara, u februaru je realizovana  akcija „Dvoje kao jedno – zaljubite se u pozorište“ koja publici omogućava kupovinu ulaznica za sve dramske programe </w:t>
            </w:r>
            <w:r w:rsidR="004E3678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iz svoje produkcije </w:t>
            </w:r>
            <w:r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uz popust od 50%.</w:t>
            </w:r>
          </w:p>
          <w:p w14:paraId="0E032C68" w14:textId="77777777" w:rsidR="007E6012" w:rsidRPr="00D61464" w:rsidRDefault="007E6012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skladu sa misijom nacionalnog teatra, CNP je zadržalo popuste za đake, studente i penzionere od 50% za sve programe osim premijernih i gostujućih naslova. </w:t>
            </w:r>
          </w:p>
          <w:p w14:paraId="2ACB4AE1" w14:textId="77777777" w:rsidR="007E6012" w:rsidRPr="00D61464" w:rsidRDefault="007E6012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54045CF3" w14:textId="77777777" w:rsidR="007E6012" w:rsidRPr="00D61464" w:rsidRDefault="007E6012" w:rsidP="007E601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6146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Najveće interesovanje medija i publike u 2024. godini vladalo je za premijerne predstave i gostujuće programe, kao i za akciju „Dvoje kao jedno – zaljubite se u pozorište“.  Regionalni mediji dali su značajnu pažnju gostovanjima CNP-a van Crne Gore, a o novim produkcijama (premijerama) izvještavali su i regionalni novinari i pozorišni kritičari.</w:t>
            </w:r>
          </w:p>
          <w:p w14:paraId="0F1FC59D" w14:textId="2E2D114C" w:rsidR="004D1CB5" w:rsidRPr="007434F2" w:rsidRDefault="004D1CB5" w:rsidP="00DA29BE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</w:tbl>
    <w:p w14:paraId="2A8F8C80" w14:textId="77777777" w:rsidR="00315F7E" w:rsidRPr="007434F2" w:rsidRDefault="00315F7E" w:rsidP="00170BF6">
      <w:pPr>
        <w:spacing w:after="0" w:line="252" w:lineRule="auto"/>
        <w:jc w:val="both"/>
        <w:rPr>
          <w:rFonts w:ascii="Times New Roman" w:hAnsi="Times New Roman" w:cs="Times New Roman"/>
          <w:strike/>
          <w:noProof/>
          <w:color w:val="FFFFFF" w:themeColor="background1"/>
          <w:sz w:val="24"/>
          <w:szCs w:val="24"/>
          <w:lang w:val="sr-Latn-ME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CB5" w:rsidRPr="007434F2" w14:paraId="58B6E1F6" w14:textId="77777777" w:rsidTr="004D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00DD5CD" w14:textId="77777777" w:rsidR="00A02525" w:rsidRPr="007434F2" w:rsidRDefault="00A02525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</w:p>
          <w:p w14:paraId="0DD0085F" w14:textId="2C0C9FC0" w:rsidR="004D1CB5" w:rsidRPr="007434F2" w:rsidRDefault="004D1CB5" w:rsidP="00096A40">
            <w:pPr>
              <w:pStyle w:val="NoSpacing"/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V</w:t>
            </w:r>
            <w:r w:rsidR="00096A40" w:rsidRPr="007434F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I</w:t>
            </w:r>
            <w:r w:rsidR="00D841A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PROSTORNI I TEHNIČKI KAPACITETI</w:t>
            </w:r>
          </w:p>
          <w:p w14:paraId="00DDD166" w14:textId="77777777" w:rsidR="004D1CB5" w:rsidRPr="007434F2" w:rsidRDefault="004D1CB5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</w:p>
        </w:tc>
      </w:tr>
      <w:tr w:rsidR="004D1CB5" w:rsidRPr="007434F2" w14:paraId="7788C66C" w14:textId="77777777" w:rsidTr="004D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2D2D9D5" w14:textId="118537A3" w:rsidR="004D1CB5" w:rsidRPr="004851F5" w:rsidRDefault="00D56446" w:rsidP="00096A4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4851F5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>Poslovi Tehničkog sektora odnose se na stvaranje uslova za kvalitetnu realizaciju programskih sadržaja na matičnoj sceni, ali i na gostovanjima.</w:t>
            </w:r>
          </w:p>
          <w:p w14:paraId="0F70D59C" w14:textId="3B2A30F5" w:rsidR="00D56446" w:rsidRDefault="00D56446" w:rsidP="00096A4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4851F5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Pored izrade scenografije za premijerne predstave, u ovom izvještajnom  periodu realizovano je i niz investicionih </w:t>
            </w:r>
            <w:r w:rsidR="00BB3A4B" w:rsidRPr="004851F5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i tekućih </w:t>
            </w:r>
            <w:r w:rsidRPr="004851F5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aktivnosti </w:t>
            </w:r>
            <w:r w:rsidR="00B455A4" w:rsidRPr="004851F5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>na objektu CNP</w:t>
            </w:r>
            <w:r w:rsidR="00721E5E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>-a</w:t>
            </w:r>
            <w:r w:rsidR="00F810DC" w:rsidRPr="004851F5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="004851F5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kao i nekoliko hitnih intervencija, </w:t>
            </w:r>
            <w:r w:rsidR="00F810DC" w:rsidRPr="004851F5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>od kojih izdvajamo</w:t>
            </w:r>
            <w:r w:rsidR="00B455A4" w:rsidRPr="004851F5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: </w:t>
            </w:r>
          </w:p>
          <w:p w14:paraId="186D7E16" w14:textId="461392F8" w:rsidR="00DD69A4" w:rsidRPr="00DD69A4" w:rsidRDefault="00DD69A4" w:rsidP="00675EE1">
            <w:pPr>
              <w:numPr>
                <w:ilvl w:val="0"/>
                <w:numId w:val="40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Sanacija 1/3 krovne površ</w:t>
            </w:r>
            <w:r w:rsidR="00ED0DBD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ne iznad </w:t>
            </w:r>
            <w:r w:rsidR="00D620DD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V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elike sale </w:t>
            </w:r>
            <w:r w:rsidR="00D620DD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zbog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prokišnjavanja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3B8AC791" w14:textId="50CCC649" w:rsidR="00DD69A4" w:rsidRPr="00DD69A4" w:rsidRDefault="00DD69A4" w:rsidP="00675EE1">
            <w:pPr>
              <w:numPr>
                <w:ilvl w:val="0"/>
                <w:numId w:val="40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Nabavka rasvjetne opreme u LED tehnologiji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5616DAA5" w14:textId="55D85A43" w:rsidR="00DD69A4" w:rsidRPr="00DD69A4" w:rsidRDefault="00DD69A4" w:rsidP="00675EE1">
            <w:pPr>
              <w:numPr>
                <w:ilvl w:val="0"/>
                <w:numId w:val="40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Sanacija oštećenja nastalih neovlašćenim postavljanjem energetskih kablova </w:t>
            </w:r>
            <w:r w:rsidR="00ED0DBD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od objekta u izgradnji u susjednoj ulici do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trafo stanic</w:t>
            </w:r>
            <w:r w:rsidR="00ED0DBD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e u CNP-u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45CEC508" w14:textId="41176037" w:rsidR="00DD69A4" w:rsidRPr="00DD69A4" w:rsidRDefault="00DD69A4" w:rsidP="00675EE1">
            <w:pPr>
              <w:numPr>
                <w:ilvl w:val="0"/>
                <w:numId w:val="40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Zanatski radovi na održavanju prostora za publiku, kancelarija, vertikalnih komunikacija, doopremanje dodatnog prostora rekvizite 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druge sitne opravke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28699CA0" w14:textId="0DF06231" w:rsidR="00DD69A4" w:rsidRPr="00DD69A4" w:rsidRDefault="00DD69A4" w:rsidP="00675EE1">
            <w:pPr>
              <w:numPr>
                <w:ilvl w:val="0"/>
                <w:numId w:val="40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Opremanje računarima </w:t>
            </w:r>
            <w:r w:rsidR="00CB330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računarskom opremom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76AA5BFF" w14:textId="749F54E0" w:rsidR="00DD69A4" w:rsidRPr="00DD69A4" w:rsidRDefault="00DD69A4" w:rsidP="00675EE1">
            <w:pPr>
              <w:numPr>
                <w:ilvl w:val="0"/>
                <w:numId w:val="40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Izrada scenografija za realizovane premijere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0098367C" w14:textId="532810E7" w:rsidR="00DD69A4" w:rsidRPr="00DD69A4" w:rsidRDefault="00DD69A4" w:rsidP="00675EE1">
            <w:pPr>
              <w:numPr>
                <w:ilvl w:val="0"/>
                <w:numId w:val="40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Opremanje zaposlenih HTZ opremom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</w:p>
          <w:p w14:paraId="42E9BE9A" w14:textId="6C7A0213" w:rsidR="00DD69A4" w:rsidRPr="00CB330E" w:rsidRDefault="00DD69A4" w:rsidP="00170BF6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Izvršeno je nekoliko inspekcijskih kontrola shodno Zakonu zatite na radu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Zakona o za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š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titi imovine 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lica 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Zakona o zaštiti od požara</w:t>
            </w:r>
            <w:r w:rsidR="00CB330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</w:p>
          <w:p w14:paraId="6434BC75" w14:textId="52761090" w:rsidR="00CB330E" w:rsidRPr="00DD69A4" w:rsidRDefault="00ED0DBD" w:rsidP="00CB330E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Iz</w:t>
            </w:r>
            <w:r w:rsidR="00CB330E"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teku</w:t>
            </w:r>
            <w:r w:rsidR="005A127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ć</w:t>
            </w:r>
            <w:r w:rsidR="00CB330E"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eg bud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ž</w:t>
            </w:r>
            <w:r w:rsidR="00CB330E"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eta CNP-a 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2024.godini </w:t>
            </w:r>
            <w:r w:rsidR="00CB330E"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finansirani 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je</w:t>
            </w:r>
            <w:r w:rsidR="00CB330E"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nabavk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a </w:t>
            </w:r>
            <w:r w:rsidR="00CB330E"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sistema i oprem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e, kao</w:t>
            </w:r>
            <w:r w:rsidR="00CB330E"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 adaptacij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</w:t>
            </w:r>
            <w:r w:rsidR="00CB330E"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funkcionalno bitnih prostora za primarnu djelatnost</w:t>
            </w:r>
            <w:r w:rsidR="00CB330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:</w:t>
            </w:r>
          </w:p>
          <w:p w14:paraId="562EC3D9" w14:textId="6BFDC93E" w:rsidR="00CB330E" w:rsidRPr="00DD69A4" w:rsidRDefault="00CB330E" w:rsidP="00675EE1">
            <w:pPr>
              <w:numPr>
                <w:ilvl w:val="0"/>
                <w:numId w:val="41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Uvećani su 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poboljšani prostorni kapacite</w:t>
            </w:r>
            <w:r w:rsidR="005A1275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 scenske rekvizite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5B1C3286" w14:textId="6B632E82" w:rsidR="00CB330E" w:rsidRPr="00DD69A4" w:rsidRDefault="00170BF6" w:rsidP="00675EE1">
            <w:pPr>
              <w:numPr>
                <w:ilvl w:val="0"/>
                <w:numId w:val="41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Obezbijeđen</w:t>
            </w:r>
            <w:r w:rsidR="00CB330E"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je 3D štampač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63CB1E96" w14:textId="1F4F90C5" w:rsidR="00CB330E" w:rsidRPr="00DD69A4" w:rsidRDefault="00170BF6" w:rsidP="00675EE1">
            <w:pPr>
              <w:numPr>
                <w:ilvl w:val="0"/>
                <w:numId w:val="41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Obezbijeđena je</w:t>
            </w:r>
            <w:r w:rsidR="00CB330E"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oprem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a </w:t>
            </w:r>
            <w:r w:rsidR="00CB330E"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 rasvjetu i dimne efekte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3405122C" w14:textId="1216B8FD" w:rsidR="00CB330E" w:rsidRPr="00DD69A4" w:rsidRDefault="00CB330E" w:rsidP="00675EE1">
            <w:pPr>
              <w:numPr>
                <w:ilvl w:val="0"/>
                <w:numId w:val="41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Građevinsko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-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zanatski radovi na održavanju krova objekta i nadstrešnice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4196F7ED" w14:textId="3ECA6F8C" w:rsidR="00CB330E" w:rsidRPr="00DD69A4" w:rsidRDefault="00CB330E" w:rsidP="00675EE1">
            <w:pPr>
              <w:numPr>
                <w:ilvl w:val="0"/>
                <w:numId w:val="41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Periodični z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drastveni pregled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zaposlenih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 skla</w:t>
            </w:r>
            <w:r w:rsidR="00FC1B8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d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 sa zakonom.</w:t>
            </w:r>
          </w:p>
          <w:p w14:paraId="5184968D" w14:textId="3BE99634" w:rsidR="00DD02DE" w:rsidRPr="00DD02DE" w:rsidRDefault="00DD02DE" w:rsidP="00DD02DE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02D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Polazeći od kompleksnosti i značaja ovog sektora za uspješnu i kvalitetnu umjetničku produkciju, ukazujemo na nekoliko </w:t>
            </w:r>
            <w:r w:rsidR="00765C11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izazova</w:t>
            </w:r>
            <w:r w:rsidRPr="00DD02D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koji su u 2024.godini opterećivali njegov rad</w:t>
            </w: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:</w:t>
            </w:r>
          </w:p>
          <w:p w14:paraId="69BC2916" w14:textId="0ECDA431" w:rsidR="00DD02DE" w:rsidRPr="00DD02DE" w:rsidRDefault="00DD02DE" w:rsidP="00675EE1">
            <w:pPr>
              <w:pStyle w:val="ListParagraph"/>
              <w:numPr>
                <w:ilvl w:val="0"/>
                <w:numId w:val="42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02D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dotrajalost fasadnih i krovnih površina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4F86EC3A" w14:textId="3B039C04" w:rsidR="00DD02DE" w:rsidRPr="00DD02DE" w:rsidRDefault="00DD02DE" w:rsidP="00675EE1">
            <w:pPr>
              <w:pStyle w:val="ListParagraph"/>
              <w:numPr>
                <w:ilvl w:val="0"/>
                <w:numId w:val="42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02D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zastarjelost scenske opreme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7FDFDCFD" w14:textId="5F18960E" w:rsidR="00CB330E" w:rsidRPr="00DD02DE" w:rsidRDefault="00DD02DE" w:rsidP="00675EE1">
            <w:pPr>
              <w:pStyle w:val="ListParagraph"/>
              <w:numPr>
                <w:ilvl w:val="0"/>
                <w:numId w:val="42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02DE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nedostatak kadrovskih kapaciteta i planskog osposobljavanja, naročito iz domena scensko-tehničke produkcije (svijetlo, ton i video).</w:t>
            </w:r>
          </w:p>
          <w:p w14:paraId="38FF11D7" w14:textId="0D351780" w:rsidR="00DD69A4" w:rsidRPr="00DD69A4" w:rsidRDefault="00DD69A4" w:rsidP="00DD69A4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Shodno stvarnim potrebama uslovljenim tehnološkim napretkom i mjerama energetske efikasnosti, svi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m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tehnološki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m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sistemi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ma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neophodna je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inovacij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a 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 nadogradnj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što 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nadalje 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zaht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Pr="00DD69A4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jeva projektat rekonstrukcije, koji nije moguće uraditi zbog neuređenog posjedovnog lista, a što je uslov za dobijanje UTU.</w:t>
            </w:r>
          </w:p>
          <w:p w14:paraId="7462C776" w14:textId="79FBA424" w:rsidR="00D56446" w:rsidRDefault="00DD02DE" w:rsidP="00735CF6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 kontekstu navedenog</w:t>
            </w:r>
            <w:r w:rsidR="00735C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n</w:t>
            </w:r>
            <w:r w:rsidR="00735CF6" w:rsidRPr="00735C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eophodno je planirati ili nastaviti započete aktivnosti sanacije krovnih i fasadnih površina radi sprječavanja prodora vode, investicionog održavanja garderoba i mokrih čvorova, kao i redovnog i vanrednog servisiranja opreme i sistema u skladu s tehničkim propisima. Takođe, potrebno je izraditi elaborate i realizovati nabavku nove scenske i IT opreme u svrhu digitalizacije poslovanja, obrade i distribucije video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-</w:t>
            </w:r>
            <w:r w:rsidR="00735CF6" w:rsidRPr="00735C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materijala</w:t>
            </w:r>
            <w:r w:rsidR="00170B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</w:t>
            </w:r>
            <w:r w:rsidR="00735CF6" w:rsidRPr="00735CF6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te arhiviranja dokumentacije.</w:t>
            </w:r>
          </w:p>
          <w:p w14:paraId="70DA0899" w14:textId="46A08B82" w:rsidR="00735CF6" w:rsidRPr="00735CF6" w:rsidRDefault="00735CF6" w:rsidP="00735CF6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2BC4190B" w14:textId="77777777" w:rsidR="00842267" w:rsidRPr="007434F2" w:rsidRDefault="00842267" w:rsidP="00096A40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CB5" w:rsidRPr="007434F2" w14:paraId="62B8E3E9" w14:textId="77777777" w:rsidTr="004D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B0EA0D3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b w:val="0"/>
                <w:strike/>
                <w:noProof/>
                <w:sz w:val="24"/>
                <w:szCs w:val="24"/>
                <w:lang w:val="sr-Latn-ME"/>
              </w:rPr>
            </w:pPr>
          </w:p>
          <w:p w14:paraId="2CAF34FC" w14:textId="564EF1B3" w:rsidR="00A02525" w:rsidRDefault="00165CC7" w:rsidP="006F51D8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VII </w:t>
            </w:r>
            <w:r w:rsidR="000D2210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</w:t>
            </w:r>
            <w:r w:rsidR="006F51D8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NAGRADE I PRIZNANJA</w:t>
            </w:r>
            <w:r w:rsidR="00BD4821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POVODOM DANA CNP-a</w:t>
            </w:r>
          </w:p>
          <w:p w14:paraId="1EB00B94" w14:textId="092B609C" w:rsidR="006F51D8" w:rsidRPr="007434F2" w:rsidRDefault="006F51D8" w:rsidP="006F51D8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b w:val="0"/>
                <w:strike/>
                <w:noProof/>
                <w:sz w:val="24"/>
                <w:szCs w:val="24"/>
                <w:lang w:val="sr-Latn-ME"/>
              </w:rPr>
            </w:pPr>
          </w:p>
        </w:tc>
      </w:tr>
      <w:tr w:rsidR="004D1CB5" w:rsidRPr="007434F2" w14:paraId="297AEF08" w14:textId="77777777" w:rsidTr="004D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8AA17DE" w14:textId="27A172A8" w:rsidR="00CB6A8A" w:rsidRDefault="00CB6A8A" w:rsidP="00CB6A8A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1. novembar – Dan Crnogorskog narodnog pozorišta 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tradicionalno je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obilježen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BF2CF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dodjelom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godišnj</w:t>
            </w:r>
            <w:r w:rsidR="00BF2CF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ih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nagrad</w:t>
            </w:r>
            <w:r w:rsidR="00BF2CF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članovima kolektiva za visoke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umjetničke i najbolje rezultate postignute 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 ostalim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segmentima poslovanja, 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te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priznan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ja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 zahvalnic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 za doprinos afirmaciji CNP-a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. </w:t>
            </w:r>
            <w:r w:rsidR="00BF2CF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BF2CF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ve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č</w:t>
            </w:r>
            <w:r w:rsidR="00BF2CF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ernjem programu,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na Velikoj sceni izvedeno je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muzičko-scensko djelo “L’altro Giacomo – Čovjek i Umjetnik”, u režiji Renata Raima.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Na 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taj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način, nacionalni teatar 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se ujedno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uključ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io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u globalno obilježavanje stogodišnjice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smrti Đakoma Pučinija, jednog od najvećih operskih kompozitora u istoriji i potvr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dilo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značaj međunarodne saradnje u kulturi.</w:t>
            </w:r>
          </w:p>
          <w:p w14:paraId="27FB1769" w14:textId="77777777" w:rsidR="00BF2CFE" w:rsidRPr="00CB6A8A" w:rsidRDefault="00BF2CFE" w:rsidP="00CB6A8A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30A89FD1" w14:textId="43CA9245" w:rsidR="00CB6A8A" w:rsidRPr="00561F5C" w:rsidRDefault="00D459F7" w:rsidP="00CB6A8A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Naime, 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Savjet 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JU CNP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na prijedlog direktora Ilije Subotića i</w:t>
            </w:r>
            <w:r w:rsid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umjetničke direktorice Vesne Vujošević Labović, jednoglasno je donio odluku da godišnju</w:t>
            </w:r>
            <w:r w:rsid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nagradu za 2024. godinu za izuzetne umjetničke rezultate dobiju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: 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Ana Vučković, glumica za</w:t>
            </w:r>
            <w:r w:rsid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uloge: Ruža (Katarina) u predstavi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„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Ja sam ona koja nisam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“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rd. Vito Taufer; Kosa u predstavi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„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Smrt i njeni hir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ovi“,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rd. Lidija Dedović i Gospođa Linge u predstavi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„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Ibzen mašina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“, 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rd. Ana</w:t>
            </w:r>
            <w:r w:rsid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Vukotić i Dejan Ivanić, glumac, za uloge: kondukter, komšija, svjedok u predstavi 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671-Lov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“,</w:t>
            </w:r>
            <w:r w:rsid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CB6A8A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rd. Hana Rastoder i Umjetnik u predstavi </w:t>
            </w:r>
            <w:r w:rsidR="006758D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</w:t>
            </w:r>
            <w:r w:rsidR="00CB6A8A" w:rsidRPr="00561F5C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Smrt i njeni hirovi</w:t>
            </w:r>
            <w:r w:rsidR="006758D7" w:rsidRPr="00561F5C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“,</w:t>
            </w:r>
            <w:r w:rsidR="00CB6A8A" w:rsidRPr="00561F5C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rd. Lidija Dedović.</w:t>
            </w:r>
          </w:p>
          <w:p w14:paraId="0DA9887E" w14:textId="5C600407" w:rsidR="00CB6A8A" w:rsidRDefault="00CB6A8A" w:rsidP="00CB6A8A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561F5C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Godišnje nagrade za 2024. godinu za izuzetne rezultate i zasluge u svim segmentima poslovanja CNP-a, dodjeljene su rukovodiocima sektora, službi i odsjeka i to: Igoru Damjanoviću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sekretaru ustanove, Biljani Radunović, finansijskoj direktorici, Radu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L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azareviću, tehničkom direktoru, Dejanu Đurkoviću, direktoru Produkcije, Srđanu Pavićeviću,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rukovodiocu Službe za marketing, Zorani Kralj, rukovoditeljki PR službe, Đaniju Milačiću,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rukovodiocu Odsjeka tehničko-scenske produkcije, Srećku Milačiću, rukovodiocu Odsjeka za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održavanje, Luki Dokniću, šefu Logistike tehničko-scenske produkcije, Božu Marinoviću,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šefu Servisa zaštite i higijene, Milici Radulović, šefici Računovodstva, Safetu Šaćiriju, šefu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Službe prodaje i protokola i Jovanu Dragojeviću, šefu Ugostiteljstva.</w:t>
            </w:r>
          </w:p>
          <w:p w14:paraId="57488B28" w14:textId="77777777" w:rsidR="00FA1571" w:rsidRPr="00CB6A8A" w:rsidRDefault="00FA1571" w:rsidP="00CB6A8A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5C080CA7" w14:textId="2358F068" w:rsidR="00CB6A8A" w:rsidRDefault="00CB6A8A" w:rsidP="00CB6A8A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Status počasnog člana CNP-a koji stiču najistaknutiji članovi CNP-a, kao i istaknuti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stvaraoci i saradnici Pozorišta za značajan rad i rezultate rada postignute u oblasti kulture, a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koji su od značaja za pozorišnu djelatnost, stek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li su</w:t>
            </w:r>
            <w:r w:rsidR="00D459F7"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Željka Udovičić-Pleština, dramaturškinja iz Republike Hrvatske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CD7F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i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posthumno Stevan Radusinović, glumac.</w:t>
            </w:r>
          </w:p>
          <w:p w14:paraId="0A8EB28E" w14:textId="77777777" w:rsidR="00FA1571" w:rsidRPr="00CB6A8A" w:rsidRDefault="00FA1571" w:rsidP="00CB6A8A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19D887FC" w14:textId="1C7D0409" w:rsidR="00CB6A8A" w:rsidRDefault="00CB6A8A" w:rsidP="00CB6A8A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Zahvalnica CNP-a koja se dodjeljuje 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subjektima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ili pojedincima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koji su saradničkim angažmanom doprinijeli afirmaciji CNP-a, </w:t>
            </w:r>
            <w:r w:rsidR="00D459F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uručena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je Ambasadi Republike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Italije u Crnoj Gori za kontinuiranu saradnju i podršku programima CNP-a, Milošu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Novakoviću, šefu Scene, za dugogodišnji stručni i posvećeni rad i rukovođenje službom i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Mileni Pajović, razvodnici koja odgovorno i posvećeno već osam godina u kontinuitetu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obavlja taj posao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</w:p>
          <w:p w14:paraId="7433FBF0" w14:textId="77777777" w:rsidR="00FA1571" w:rsidRPr="00CB6A8A" w:rsidRDefault="00FA1571" w:rsidP="00CB6A8A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14FCC7B7" w14:textId="04E19BCB" w:rsidR="00CB6A8A" w:rsidRPr="00CB6A8A" w:rsidRDefault="00CB6A8A" w:rsidP="00CB6A8A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Stipendiju „Velibor – Bucko Radonjić“, koja se dodjeljuje pojedincu za izuzetne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rezultate iz oblasti pozorišne scenografije, kostimografije i likovne umjetnosti, u 2024. godini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CB6A8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dobila je Jelena Ivančević, scenografkinja iz Podgorice.</w:t>
            </w:r>
          </w:p>
          <w:p w14:paraId="6E9A1DED" w14:textId="32BA37FB" w:rsidR="00D12C8A" w:rsidRPr="006C268E" w:rsidRDefault="00D12C8A" w:rsidP="00561F5C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</w:tc>
      </w:tr>
    </w:tbl>
    <w:p w14:paraId="301F8B06" w14:textId="77777777" w:rsidR="006F51D8" w:rsidRPr="007434F2" w:rsidRDefault="006F51D8" w:rsidP="006F51D8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1D8" w:rsidRPr="007434F2" w14:paraId="61380DAA" w14:textId="77777777" w:rsidTr="00A55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52538BA" w14:textId="77777777" w:rsidR="006F51D8" w:rsidRPr="007434F2" w:rsidRDefault="006F51D8" w:rsidP="00A55092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b w:val="0"/>
                <w:strike/>
                <w:noProof/>
                <w:sz w:val="24"/>
                <w:szCs w:val="24"/>
                <w:lang w:val="sr-Latn-ME"/>
              </w:rPr>
            </w:pPr>
          </w:p>
          <w:p w14:paraId="3FFDFF5A" w14:textId="3EDDC20E" w:rsidR="006F51D8" w:rsidRPr="007434F2" w:rsidRDefault="006F51D8" w:rsidP="00A55092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V</w:t>
            </w:r>
            <w:r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I</w:t>
            </w:r>
            <w:r w:rsidRPr="007434F2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II </w:t>
            </w:r>
            <w:r w:rsidR="00D841AA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FINANSIJSKO POSLOVANJE</w:t>
            </w:r>
          </w:p>
          <w:p w14:paraId="0E39F9FD" w14:textId="77777777" w:rsidR="006F51D8" w:rsidRPr="007434F2" w:rsidRDefault="006F51D8" w:rsidP="00A55092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b w:val="0"/>
                <w:strike/>
                <w:noProof/>
                <w:sz w:val="24"/>
                <w:szCs w:val="24"/>
                <w:lang w:val="sr-Latn-ME"/>
              </w:rPr>
            </w:pPr>
          </w:p>
        </w:tc>
      </w:tr>
      <w:tr w:rsidR="006F51D8" w:rsidRPr="007434F2" w14:paraId="44604F6C" w14:textId="77777777" w:rsidTr="00A5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C5EC882" w14:textId="477FC961" w:rsidR="007369E3" w:rsidRPr="002F64CB" w:rsidRDefault="007369E3" w:rsidP="007369E3">
            <w:pPr>
              <w:spacing w:line="252" w:lineRule="auto"/>
              <w:jc w:val="both"/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2F64CB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  <w:lang w:val="sr-Latn-ME"/>
              </w:rPr>
              <w:t>Budžet CNP pretežno čine sredstva iz opštih prihoda, odnosno sredstva opredijeljena Zakonom o budžetu Crne Gore i sopstveni prihodi.</w:t>
            </w:r>
          </w:p>
          <w:p w14:paraId="39E6A86F" w14:textId="799DCC25" w:rsidR="007369E3" w:rsidRPr="002F64CB" w:rsidRDefault="007369E3" w:rsidP="007369E3">
            <w:pPr>
              <w:spacing w:line="252" w:lineRule="auto"/>
              <w:jc w:val="both"/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2F64CB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  <w:lang w:val="sr-Latn-ME"/>
              </w:rPr>
              <w:t>Zakonom o budžetu za 2024. godinu za CNP je bilo opredijeljeno 3.073.533,60eura. Od ovog iznosa je stvarno uplaćeno 2.725.497,37 i to na ime opštih 2.705.497,37 i 20.000,00 eura na ime namjenskih prihoda. U izvještajnom periodu sopstveni prihodi CNP-a su iznosili 250.009,16 eura. Ukupna realizacija</w:t>
            </w:r>
            <w:r w:rsidR="002F64CB" w:rsidRPr="002F64CB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budžeta CNP-a (</w:t>
            </w:r>
            <w:r w:rsidRPr="002F64CB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  <w:lang w:val="sr-Latn-ME"/>
              </w:rPr>
              <w:t>planirano-ostvareno</w:t>
            </w:r>
            <w:r w:rsidR="002F64CB" w:rsidRPr="002F64CB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) </w:t>
            </w:r>
            <w:r w:rsidRPr="002F64CB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  <w:lang w:val="sr-Latn-ME"/>
              </w:rPr>
              <w:t>iznosi 96,81%</w:t>
            </w:r>
            <w:r w:rsidR="002F64CB" w:rsidRPr="002F64CB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.</w:t>
            </w:r>
          </w:p>
          <w:p w14:paraId="5ECFE622" w14:textId="03A857DB" w:rsidR="002F64CB" w:rsidRPr="002F64CB" w:rsidRDefault="002F64CB" w:rsidP="002F64CB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2F64CB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Po osnovu bruto zarada potrošeno je 1.778.151,56 (1.774.221,62 od </w:t>
            </w:r>
            <w:r w:rsidR="00FA157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b</w:t>
            </w:r>
            <w:r w:rsidRPr="002F64CB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udžetskih sredstava i 3.929,94 od sopstvenih prihoda), a prosječna neto zarada iznosila je 872,64 eura.</w:t>
            </w:r>
          </w:p>
          <w:p w14:paraId="68BC8A27" w14:textId="6D759020" w:rsidR="002F64CB" w:rsidRPr="002F64CB" w:rsidRDefault="002F64CB" w:rsidP="002F64CB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2F64CB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Direktni troškovi</w:t>
            </w:r>
            <w:r w:rsidR="00FA157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2F64CB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realizovanih programa, premijera i repriznih izvođenja predstava u 2024.godini su iznosili 541.882,86 eura, što ne uključuje zarade zaposlenih i druge naknade zaposlenih u </w:t>
            </w:r>
            <w:r w:rsidR="00FA157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</w:t>
            </w:r>
            <w:r w:rsidRPr="002F64CB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mjetničkom sektoru.</w:t>
            </w:r>
          </w:p>
          <w:p w14:paraId="34DAAE5F" w14:textId="59E1EA71" w:rsidR="002F64CB" w:rsidRPr="007434F2" w:rsidRDefault="002F64CB" w:rsidP="002F64CB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2F64CB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prilogu je kompletan </w:t>
            </w:r>
            <w:r w:rsidR="00FA157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F</w:t>
            </w:r>
            <w:r w:rsidRPr="002F64CB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inansijski izvještaj za 2024.godinu, blagovremeno dostavljen nadležnim ministarstvima shodno zakonskoj obavezi, a na koji </w:t>
            </w:r>
            <w:r w:rsidR="00FA157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nije bilo</w:t>
            </w:r>
            <w:r w:rsidRPr="002F64CB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primjedbi.</w:t>
            </w:r>
          </w:p>
        </w:tc>
      </w:tr>
    </w:tbl>
    <w:p w14:paraId="3DD3C511" w14:textId="77777777" w:rsidR="006F51D8" w:rsidRPr="007434F2" w:rsidRDefault="006F51D8" w:rsidP="006F51D8">
      <w:pPr>
        <w:spacing w:after="0" w:line="252" w:lineRule="auto"/>
        <w:rPr>
          <w:rFonts w:ascii="Times New Roman" w:eastAsia="MS Mincho" w:hAnsi="Times New Roman" w:cs="Times New Roman"/>
          <w:b/>
          <w:strike/>
          <w:noProof/>
          <w:sz w:val="24"/>
          <w:szCs w:val="24"/>
          <w:lang w:val="sr-Latn-ME"/>
        </w:rPr>
      </w:pPr>
    </w:p>
    <w:p w14:paraId="2B71390E" w14:textId="77777777" w:rsidR="006F51D8" w:rsidRPr="007434F2" w:rsidRDefault="006F51D8" w:rsidP="00096A40">
      <w:pPr>
        <w:spacing w:after="0" w:line="252" w:lineRule="auto"/>
        <w:rPr>
          <w:rFonts w:ascii="Times New Roman" w:eastAsia="MS Mincho" w:hAnsi="Times New Roman" w:cs="Times New Roman"/>
          <w:b/>
          <w:strike/>
          <w:noProof/>
          <w:sz w:val="24"/>
          <w:szCs w:val="24"/>
          <w:lang w:val="sr-Latn-ME"/>
        </w:rPr>
      </w:pPr>
    </w:p>
    <w:p w14:paraId="269A9B60" w14:textId="77777777" w:rsidR="00287076" w:rsidRPr="007434F2" w:rsidRDefault="00287076" w:rsidP="00096A40">
      <w:pPr>
        <w:spacing w:after="0" w:line="252" w:lineRule="auto"/>
        <w:rPr>
          <w:rFonts w:ascii="Times New Roman" w:eastAsia="MS Mincho" w:hAnsi="Times New Roman" w:cs="Times New Roman"/>
          <w:b/>
          <w:strike/>
          <w:noProof/>
          <w:sz w:val="24"/>
          <w:szCs w:val="24"/>
          <w:lang w:val="sr-Latn-ME"/>
        </w:rPr>
      </w:pPr>
    </w:p>
    <w:sectPr w:rsidR="00287076" w:rsidRPr="007434F2" w:rsidSect="005C31B3">
      <w:footerReference w:type="default" r:id="rId8"/>
      <w:pgSz w:w="12240" w:h="15840"/>
      <w:pgMar w:top="127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372A" w14:textId="77777777" w:rsidR="007C473E" w:rsidRDefault="007C473E" w:rsidP="00742876">
      <w:pPr>
        <w:spacing w:after="0" w:line="240" w:lineRule="auto"/>
      </w:pPr>
      <w:r>
        <w:separator/>
      </w:r>
    </w:p>
  </w:endnote>
  <w:endnote w:type="continuationSeparator" w:id="0">
    <w:p w14:paraId="7AFC089B" w14:textId="77777777" w:rsidR="007C473E" w:rsidRDefault="007C473E" w:rsidP="0074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371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8068F" w14:textId="77777777" w:rsidR="00D80E44" w:rsidRDefault="00D80E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5D060BB" w14:textId="77777777" w:rsidR="00D80E44" w:rsidRDefault="00D80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F7C1" w14:textId="77777777" w:rsidR="007C473E" w:rsidRDefault="007C473E" w:rsidP="00742876">
      <w:pPr>
        <w:spacing w:after="0" w:line="240" w:lineRule="auto"/>
      </w:pPr>
      <w:r>
        <w:separator/>
      </w:r>
    </w:p>
  </w:footnote>
  <w:footnote w:type="continuationSeparator" w:id="0">
    <w:p w14:paraId="217840BF" w14:textId="77777777" w:rsidR="007C473E" w:rsidRDefault="007C473E" w:rsidP="0074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F1C"/>
    <w:multiLevelType w:val="hybridMultilevel"/>
    <w:tmpl w:val="9DB2313C"/>
    <w:lvl w:ilvl="0" w:tplc="0B46C6C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3D1161"/>
    <w:multiLevelType w:val="hybridMultilevel"/>
    <w:tmpl w:val="E732185E"/>
    <w:lvl w:ilvl="0" w:tplc="9774D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6C36"/>
    <w:multiLevelType w:val="hybridMultilevel"/>
    <w:tmpl w:val="42426982"/>
    <w:lvl w:ilvl="0" w:tplc="04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0D7F64DB"/>
    <w:multiLevelType w:val="hybridMultilevel"/>
    <w:tmpl w:val="C80643BC"/>
    <w:lvl w:ilvl="0" w:tplc="04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0DB74D23"/>
    <w:multiLevelType w:val="hybridMultilevel"/>
    <w:tmpl w:val="7ED4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4228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AE7"/>
    <w:multiLevelType w:val="hybridMultilevel"/>
    <w:tmpl w:val="C9C040B6"/>
    <w:lvl w:ilvl="0" w:tplc="43904F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05A76"/>
    <w:multiLevelType w:val="hybridMultilevel"/>
    <w:tmpl w:val="32C0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29EE"/>
    <w:multiLevelType w:val="hybridMultilevel"/>
    <w:tmpl w:val="58C01A40"/>
    <w:lvl w:ilvl="0" w:tplc="F8DA8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E3B"/>
    <w:multiLevelType w:val="hybridMultilevel"/>
    <w:tmpl w:val="D41CD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71AB0"/>
    <w:multiLevelType w:val="hybridMultilevel"/>
    <w:tmpl w:val="8A72C6A0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735DD"/>
    <w:multiLevelType w:val="hybridMultilevel"/>
    <w:tmpl w:val="03EA799C"/>
    <w:lvl w:ilvl="0" w:tplc="A006AB6C">
      <w:start w:val="44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777F6"/>
    <w:multiLevelType w:val="multilevel"/>
    <w:tmpl w:val="CFBC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C12FF"/>
    <w:multiLevelType w:val="hybridMultilevel"/>
    <w:tmpl w:val="71788E5E"/>
    <w:lvl w:ilvl="0" w:tplc="9774D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0F33"/>
    <w:multiLevelType w:val="hybridMultilevel"/>
    <w:tmpl w:val="5F70DD68"/>
    <w:lvl w:ilvl="0" w:tplc="EB70E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322CB"/>
    <w:multiLevelType w:val="hybridMultilevel"/>
    <w:tmpl w:val="FED85362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B0B2C"/>
    <w:multiLevelType w:val="hybridMultilevel"/>
    <w:tmpl w:val="710E9412"/>
    <w:lvl w:ilvl="0" w:tplc="8228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821B00"/>
    <w:multiLevelType w:val="hybridMultilevel"/>
    <w:tmpl w:val="4F3650CA"/>
    <w:lvl w:ilvl="0" w:tplc="682282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07CC"/>
    <w:multiLevelType w:val="hybridMultilevel"/>
    <w:tmpl w:val="404AC546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0A97"/>
    <w:multiLevelType w:val="hybridMultilevel"/>
    <w:tmpl w:val="E920FE04"/>
    <w:lvl w:ilvl="0" w:tplc="657E00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D5066"/>
    <w:multiLevelType w:val="hybridMultilevel"/>
    <w:tmpl w:val="42D674C8"/>
    <w:lvl w:ilvl="0" w:tplc="8228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4E5EF8"/>
    <w:multiLevelType w:val="hybridMultilevel"/>
    <w:tmpl w:val="F4CA8D68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D5A39"/>
    <w:multiLevelType w:val="hybridMultilevel"/>
    <w:tmpl w:val="17A0DB94"/>
    <w:lvl w:ilvl="0" w:tplc="657E00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E0D3E"/>
    <w:multiLevelType w:val="hybridMultilevel"/>
    <w:tmpl w:val="2362E40C"/>
    <w:lvl w:ilvl="0" w:tplc="657E00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27899"/>
    <w:multiLevelType w:val="hybridMultilevel"/>
    <w:tmpl w:val="8F0A045A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D1C9B"/>
    <w:multiLevelType w:val="hybridMultilevel"/>
    <w:tmpl w:val="5C36E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D4716"/>
    <w:multiLevelType w:val="hybridMultilevel"/>
    <w:tmpl w:val="86389B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20052"/>
    <w:multiLevelType w:val="hybridMultilevel"/>
    <w:tmpl w:val="ACD615EC"/>
    <w:lvl w:ilvl="0" w:tplc="8752E6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1C2630"/>
    <w:multiLevelType w:val="hybridMultilevel"/>
    <w:tmpl w:val="FAA6481C"/>
    <w:lvl w:ilvl="0" w:tplc="C61E0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D1B2F"/>
    <w:multiLevelType w:val="hybridMultilevel"/>
    <w:tmpl w:val="428A3940"/>
    <w:lvl w:ilvl="0" w:tplc="657E00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60101"/>
    <w:multiLevelType w:val="hybridMultilevel"/>
    <w:tmpl w:val="96DA9942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23E49"/>
    <w:multiLevelType w:val="hybridMultilevel"/>
    <w:tmpl w:val="A7341F2E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34831"/>
    <w:multiLevelType w:val="hybridMultilevel"/>
    <w:tmpl w:val="A7EEBE4E"/>
    <w:lvl w:ilvl="0" w:tplc="A7B414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F0D28"/>
    <w:multiLevelType w:val="hybridMultilevel"/>
    <w:tmpl w:val="AED80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657C8"/>
    <w:multiLevelType w:val="hybridMultilevel"/>
    <w:tmpl w:val="A6DCF952"/>
    <w:lvl w:ilvl="0" w:tplc="9774D44C">
      <w:numFmt w:val="bullet"/>
      <w:lvlText w:val="-"/>
      <w:lvlJc w:val="left"/>
      <w:pPr>
        <w:ind w:left="115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4" w15:restartNumberingAfterBreak="0">
    <w:nsid w:val="5190578C"/>
    <w:multiLevelType w:val="hybridMultilevel"/>
    <w:tmpl w:val="43B018AA"/>
    <w:lvl w:ilvl="0" w:tplc="9C9223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762A41"/>
    <w:multiLevelType w:val="hybridMultilevel"/>
    <w:tmpl w:val="2620E33C"/>
    <w:lvl w:ilvl="0" w:tplc="9774D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A4667"/>
    <w:multiLevelType w:val="hybridMultilevel"/>
    <w:tmpl w:val="2BB87E1E"/>
    <w:lvl w:ilvl="0" w:tplc="A7B414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62549"/>
    <w:multiLevelType w:val="hybridMultilevel"/>
    <w:tmpl w:val="61603884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8" w15:restartNumberingAfterBreak="0">
    <w:nsid w:val="66C4439B"/>
    <w:multiLevelType w:val="hybridMultilevel"/>
    <w:tmpl w:val="A83A6630"/>
    <w:lvl w:ilvl="0" w:tplc="7D88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A23B8"/>
    <w:multiLevelType w:val="hybridMultilevel"/>
    <w:tmpl w:val="91FABE74"/>
    <w:lvl w:ilvl="0" w:tplc="11B0F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B557F"/>
    <w:multiLevelType w:val="hybridMultilevel"/>
    <w:tmpl w:val="BE9E2A9C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C3B80"/>
    <w:multiLevelType w:val="hybridMultilevel"/>
    <w:tmpl w:val="A16089D4"/>
    <w:lvl w:ilvl="0" w:tplc="FFFFFFFF">
      <w:numFmt w:val="bullet"/>
      <w:lvlText w:val="-"/>
      <w:lvlJc w:val="left"/>
      <w:pPr>
        <w:ind w:left="1150" w:hanging="360"/>
      </w:pPr>
      <w:rPr>
        <w:rFonts w:ascii="Calibri" w:eastAsiaTheme="minorHAnsi" w:hAnsi="Calibri" w:cs="Calibri" w:hint="default"/>
      </w:rPr>
    </w:lvl>
    <w:lvl w:ilvl="1" w:tplc="9774D44C">
      <w:numFmt w:val="bullet"/>
      <w:lvlText w:val="-"/>
      <w:lvlJc w:val="left"/>
      <w:pPr>
        <w:ind w:left="187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2" w15:restartNumberingAfterBreak="0">
    <w:nsid w:val="722A7CF3"/>
    <w:multiLevelType w:val="hybridMultilevel"/>
    <w:tmpl w:val="8A16D308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7A486EB1"/>
    <w:multiLevelType w:val="hybridMultilevel"/>
    <w:tmpl w:val="388A5490"/>
    <w:lvl w:ilvl="0" w:tplc="A7B414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275402">
    <w:abstractNumId w:val="34"/>
  </w:num>
  <w:num w:numId="2" w16cid:durableId="1498033091">
    <w:abstractNumId w:val="0"/>
  </w:num>
  <w:num w:numId="3" w16cid:durableId="820581160">
    <w:abstractNumId w:val="43"/>
  </w:num>
  <w:num w:numId="4" w16cid:durableId="1627077910">
    <w:abstractNumId w:val="38"/>
  </w:num>
  <w:num w:numId="5" w16cid:durableId="880089768">
    <w:abstractNumId w:val="13"/>
  </w:num>
  <w:num w:numId="6" w16cid:durableId="144668311">
    <w:abstractNumId w:val="11"/>
  </w:num>
  <w:num w:numId="7" w16cid:durableId="1273591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956637">
    <w:abstractNumId w:val="8"/>
  </w:num>
  <w:num w:numId="9" w16cid:durableId="1382055243">
    <w:abstractNumId w:val="7"/>
  </w:num>
  <w:num w:numId="10" w16cid:durableId="690181227">
    <w:abstractNumId w:val="36"/>
  </w:num>
  <w:num w:numId="11" w16cid:durableId="546071928">
    <w:abstractNumId w:val="32"/>
  </w:num>
  <w:num w:numId="12" w16cid:durableId="1748768919">
    <w:abstractNumId w:val="31"/>
  </w:num>
  <w:num w:numId="13" w16cid:durableId="41902794">
    <w:abstractNumId w:val="6"/>
  </w:num>
  <w:num w:numId="14" w16cid:durableId="604078040">
    <w:abstractNumId w:val="42"/>
  </w:num>
  <w:num w:numId="15" w16cid:durableId="1085690717">
    <w:abstractNumId w:val="10"/>
  </w:num>
  <w:num w:numId="16" w16cid:durableId="1021779769">
    <w:abstractNumId w:val="16"/>
  </w:num>
  <w:num w:numId="17" w16cid:durableId="1207646497">
    <w:abstractNumId w:val="39"/>
  </w:num>
  <w:num w:numId="18" w16cid:durableId="327057228">
    <w:abstractNumId w:val="27"/>
  </w:num>
  <w:num w:numId="19" w16cid:durableId="1454442787">
    <w:abstractNumId w:val="5"/>
  </w:num>
  <w:num w:numId="20" w16cid:durableId="50154209">
    <w:abstractNumId w:val="35"/>
  </w:num>
  <w:num w:numId="21" w16cid:durableId="720177929">
    <w:abstractNumId w:val="4"/>
  </w:num>
  <w:num w:numId="22" w16cid:durableId="1195117349">
    <w:abstractNumId w:val="33"/>
  </w:num>
  <w:num w:numId="23" w16cid:durableId="501942014">
    <w:abstractNumId w:val="41"/>
  </w:num>
  <w:num w:numId="24" w16cid:durableId="1616979569">
    <w:abstractNumId w:val="1"/>
  </w:num>
  <w:num w:numId="25" w16cid:durableId="884634596">
    <w:abstractNumId w:val="12"/>
  </w:num>
  <w:num w:numId="26" w16cid:durableId="381904586">
    <w:abstractNumId w:val="24"/>
  </w:num>
  <w:num w:numId="27" w16cid:durableId="278070646">
    <w:abstractNumId w:val="22"/>
  </w:num>
  <w:num w:numId="28" w16cid:durableId="1648435393">
    <w:abstractNumId w:val="25"/>
  </w:num>
  <w:num w:numId="29" w16cid:durableId="1001738853">
    <w:abstractNumId w:val="21"/>
  </w:num>
  <w:num w:numId="30" w16cid:durableId="180318106">
    <w:abstractNumId w:val="28"/>
  </w:num>
  <w:num w:numId="31" w16cid:durableId="1661076018">
    <w:abstractNumId w:val="18"/>
  </w:num>
  <w:num w:numId="32" w16cid:durableId="976109330">
    <w:abstractNumId w:val="29"/>
  </w:num>
  <w:num w:numId="33" w16cid:durableId="1518273934">
    <w:abstractNumId w:val="23"/>
  </w:num>
  <w:num w:numId="34" w16cid:durableId="681013348">
    <w:abstractNumId w:val="20"/>
  </w:num>
  <w:num w:numId="35" w16cid:durableId="1136754545">
    <w:abstractNumId w:val="30"/>
  </w:num>
  <w:num w:numId="36" w16cid:durableId="973751911">
    <w:abstractNumId w:val="14"/>
  </w:num>
  <w:num w:numId="37" w16cid:durableId="1638532591">
    <w:abstractNumId w:val="26"/>
  </w:num>
  <w:num w:numId="38" w16cid:durableId="1498881213">
    <w:abstractNumId w:val="15"/>
  </w:num>
  <w:num w:numId="39" w16cid:durableId="2018922151">
    <w:abstractNumId w:val="19"/>
  </w:num>
  <w:num w:numId="40" w16cid:durableId="1195120508">
    <w:abstractNumId w:val="17"/>
  </w:num>
  <w:num w:numId="41" w16cid:durableId="1138495621">
    <w:abstractNumId w:val="40"/>
  </w:num>
  <w:num w:numId="42" w16cid:durableId="218135254">
    <w:abstractNumId w:val="9"/>
  </w:num>
  <w:num w:numId="43" w16cid:durableId="264968813">
    <w:abstractNumId w:val="2"/>
  </w:num>
  <w:num w:numId="44" w16cid:durableId="2012176280">
    <w:abstractNumId w:val="3"/>
  </w:num>
  <w:num w:numId="45" w16cid:durableId="5192042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36"/>
    <w:rsid w:val="00003A49"/>
    <w:rsid w:val="00006193"/>
    <w:rsid w:val="0001199C"/>
    <w:rsid w:val="000177F5"/>
    <w:rsid w:val="00017EED"/>
    <w:rsid w:val="00020F91"/>
    <w:rsid w:val="000240D5"/>
    <w:rsid w:val="00024A8F"/>
    <w:rsid w:val="00025D95"/>
    <w:rsid w:val="000312DF"/>
    <w:rsid w:val="00036081"/>
    <w:rsid w:val="000475FB"/>
    <w:rsid w:val="0005529D"/>
    <w:rsid w:val="00063B5A"/>
    <w:rsid w:val="00063FC3"/>
    <w:rsid w:val="00067578"/>
    <w:rsid w:val="00077451"/>
    <w:rsid w:val="00084578"/>
    <w:rsid w:val="00096866"/>
    <w:rsid w:val="00096A40"/>
    <w:rsid w:val="00097D52"/>
    <w:rsid w:val="000A069E"/>
    <w:rsid w:val="000A0BA0"/>
    <w:rsid w:val="000B2AAC"/>
    <w:rsid w:val="000B3FF3"/>
    <w:rsid w:val="000C2892"/>
    <w:rsid w:val="000C359C"/>
    <w:rsid w:val="000C6940"/>
    <w:rsid w:val="000D2210"/>
    <w:rsid w:val="000D45FB"/>
    <w:rsid w:val="000D72F2"/>
    <w:rsid w:val="000E3392"/>
    <w:rsid w:val="000E3975"/>
    <w:rsid w:val="000F6E59"/>
    <w:rsid w:val="0010015E"/>
    <w:rsid w:val="00101A53"/>
    <w:rsid w:val="00111720"/>
    <w:rsid w:val="00116442"/>
    <w:rsid w:val="00124669"/>
    <w:rsid w:val="00127843"/>
    <w:rsid w:val="00133732"/>
    <w:rsid w:val="00140D4F"/>
    <w:rsid w:val="00141511"/>
    <w:rsid w:val="00151CA7"/>
    <w:rsid w:val="00152F3D"/>
    <w:rsid w:val="00154D5E"/>
    <w:rsid w:val="00165CC7"/>
    <w:rsid w:val="00170BF6"/>
    <w:rsid w:val="001719E2"/>
    <w:rsid w:val="00176B26"/>
    <w:rsid w:val="00181134"/>
    <w:rsid w:val="00183F13"/>
    <w:rsid w:val="00185F6B"/>
    <w:rsid w:val="00194B81"/>
    <w:rsid w:val="0019723A"/>
    <w:rsid w:val="001B1497"/>
    <w:rsid w:val="001D16EB"/>
    <w:rsid w:val="001E2AE0"/>
    <w:rsid w:val="001E401D"/>
    <w:rsid w:val="001F260A"/>
    <w:rsid w:val="00201086"/>
    <w:rsid w:val="00211957"/>
    <w:rsid w:val="00215CDB"/>
    <w:rsid w:val="00224F45"/>
    <w:rsid w:val="0022752F"/>
    <w:rsid w:val="002326EB"/>
    <w:rsid w:val="00240023"/>
    <w:rsid w:val="002529F0"/>
    <w:rsid w:val="00254BE2"/>
    <w:rsid w:val="00270BED"/>
    <w:rsid w:val="00280DEA"/>
    <w:rsid w:val="00284858"/>
    <w:rsid w:val="00287076"/>
    <w:rsid w:val="002925F4"/>
    <w:rsid w:val="0029379B"/>
    <w:rsid w:val="002A5217"/>
    <w:rsid w:val="002B1F87"/>
    <w:rsid w:val="002B7D7D"/>
    <w:rsid w:val="002C6E0A"/>
    <w:rsid w:val="002E6B59"/>
    <w:rsid w:val="002F0B61"/>
    <w:rsid w:val="002F2D23"/>
    <w:rsid w:val="002F64CB"/>
    <w:rsid w:val="002F6983"/>
    <w:rsid w:val="00300236"/>
    <w:rsid w:val="00302418"/>
    <w:rsid w:val="00304B09"/>
    <w:rsid w:val="00305323"/>
    <w:rsid w:val="00315A3C"/>
    <w:rsid w:val="00315F7E"/>
    <w:rsid w:val="00317943"/>
    <w:rsid w:val="00321C84"/>
    <w:rsid w:val="00324F8F"/>
    <w:rsid w:val="0032599F"/>
    <w:rsid w:val="00337672"/>
    <w:rsid w:val="00342A53"/>
    <w:rsid w:val="00342C41"/>
    <w:rsid w:val="00345CCE"/>
    <w:rsid w:val="00356C79"/>
    <w:rsid w:val="00364CE8"/>
    <w:rsid w:val="00376075"/>
    <w:rsid w:val="003826A4"/>
    <w:rsid w:val="00387603"/>
    <w:rsid w:val="003A04E0"/>
    <w:rsid w:val="003B13EA"/>
    <w:rsid w:val="003B5F15"/>
    <w:rsid w:val="003C2E9D"/>
    <w:rsid w:val="003C77E6"/>
    <w:rsid w:val="003D2440"/>
    <w:rsid w:val="003D53BB"/>
    <w:rsid w:val="003D631A"/>
    <w:rsid w:val="003E595A"/>
    <w:rsid w:val="003E6572"/>
    <w:rsid w:val="00404BAF"/>
    <w:rsid w:val="00410517"/>
    <w:rsid w:val="00417323"/>
    <w:rsid w:val="00421607"/>
    <w:rsid w:val="00427C40"/>
    <w:rsid w:val="004316A6"/>
    <w:rsid w:val="00434E79"/>
    <w:rsid w:val="00436CE5"/>
    <w:rsid w:val="0044194F"/>
    <w:rsid w:val="00442CF7"/>
    <w:rsid w:val="00444C21"/>
    <w:rsid w:val="00452B8F"/>
    <w:rsid w:val="00453AED"/>
    <w:rsid w:val="00455A49"/>
    <w:rsid w:val="00460AD7"/>
    <w:rsid w:val="004628A7"/>
    <w:rsid w:val="004669DE"/>
    <w:rsid w:val="00466C4E"/>
    <w:rsid w:val="004679DC"/>
    <w:rsid w:val="00471666"/>
    <w:rsid w:val="0047269A"/>
    <w:rsid w:val="00475F5F"/>
    <w:rsid w:val="00480013"/>
    <w:rsid w:val="004851F5"/>
    <w:rsid w:val="00485AE5"/>
    <w:rsid w:val="004868ED"/>
    <w:rsid w:val="00497692"/>
    <w:rsid w:val="004A2703"/>
    <w:rsid w:val="004A34E0"/>
    <w:rsid w:val="004A79A9"/>
    <w:rsid w:val="004B100D"/>
    <w:rsid w:val="004B6232"/>
    <w:rsid w:val="004C213E"/>
    <w:rsid w:val="004C26FF"/>
    <w:rsid w:val="004C2E72"/>
    <w:rsid w:val="004C3F33"/>
    <w:rsid w:val="004D15F3"/>
    <w:rsid w:val="004D1CB5"/>
    <w:rsid w:val="004D468B"/>
    <w:rsid w:val="004E098E"/>
    <w:rsid w:val="004E0C77"/>
    <w:rsid w:val="004E3678"/>
    <w:rsid w:val="004F5541"/>
    <w:rsid w:val="004F6243"/>
    <w:rsid w:val="00505E67"/>
    <w:rsid w:val="00522655"/>
    <w:rsid w:val="00525A5C"/>
    <w:rsid w:val="00526723"/>
    <w:rsid w:val="0052686C"/>
    <w:rsid w:val="00556430"/>
    <w:rsid w:val="00557FB0"/>
    <w:rsid w:val="00561F5C"/>
    <w:rsid w:val="00562495"/>
    <w:rsid w:val="00564491"/>
    <w:rsid w:val="0056704F"/>
    <w:rsid w:val="005718A5"/>
    <w:rsid w:val="005759A0"/>
    <w:rsid w:val="00576376"/>
    <w:rsid w:val="00583297"/>
    <w:rsid w:val="005A0357"/>
    <w:rsid w:val="005A0831"/>
    <w:rsid w:val="005A1275"/>
    <w:rsid w:val="005A221C"/>
    <w:rsid w:val="005A63AA"/>
    <w:rsid w:val="005A6651"/>
    <w:rsid w:val="005B59A7"/>
    <w:rsid w:val="005B69E7"/>
    <w:rsid w:val="005B7A49"/>
    <w:rsid w:val="005C1DAA"/>
    <w:rsid w:val="005C31B3"/>
    <w:rsid w:val="005C646F"/>
    <w:rsid w:val="005C6864"/>
    <w:rsid w:val="005D0910"/>
    <w:rsid w:val="005D5A56"/>
    <w:rsid w:val="005D73EB"/>
    <w:rsid w:val="005F0C5F"/>
    <w:rsid w:val="006146E1"/>
    <w:rsid w:val="00616448"/>
    <w:rsid w:val="006209EE"/>
    <w:rsid w:val="00622574"/>
    <w:rsid w:val="0063386D"/>
    <w:rsid w:val="0063772A"/>
    <w:rsid w:val="00643A85"/>
    <w:rsid w:val="006464FE"/>
    <w:rsid w:val="00646790"/>
    <w:rsid w:val="00650BF9"/>
    <w:rsid w:val="006562EA"/>
    <w:rsid w:val="00656863"/>
    <w:rsid w:val="00656F8D"/>
    <w:rsid w:val="00664F0B"/>
    <w:rsid w:val="0067094E"/>
    <w:rsid w:val="00670FBD"/>
    <w:rsid w:val="006741A9"/>
    <w:rsid w:val="006758D7"/>
    <w:rsid w:val="00675EE1"/>
    <w:rsid w:val="006831DE"/>
    <w:rsid w:val="006A1BF5"/>
    <w:rsid w:val="006A38A4"/>
    <w:rsid w:val="006A6453"/>
    <w:rsid w:val="006C1361"/>
    <w:rsid w:val="006C268E"/>
    <w:rsid w:val="006C57B5"/>
    <w:rsid w:val="006D0BC4"/>
    <w:rsid w:val="006D10F7"/>
    <w:rsid w:val="006D1836"/>
    <w:rsid w:val="006D3839"/>
    <w:rsid w:val="006E1933"/>
    <w:rsid w:val="006E436D"/>
    <w:rsid w:val="006E4415"/>
    <w:rsid w:val="006E7559"/>
    <w:rsid w:val="006F24C8"/>
    <w:rsid w:val="006F51D8"/>
    <w:rsid w:val="00703BBA"/>
    <w:rsid w:val="007105F7"/>
    <w:rsid w:val="00710F59"/>
    <w:rsid w:val="00721E5E"/>
    <w:rsid w:val="00726F9E"/>
    <w:rsid w:val="00731A96"/>
    <w:rsid w:val="00735CF6"/>
    <w:rsid w:val="00735EA3"/>
    <w:rsid w:val="007369E3"/>
    <w:rsid w:val="00736EB8"/>
    <w:rsid w:val="007413A4"/>
    <w:rsid w:val="00742876"/>
    <w:rsid w:val="007434F2"/>
    <w:rsid w:val="00746D19"/>
    <w:rsid w:val="00755A43"/>
    <w:rsid w:val="00757FB4"/>
    <w:rsid w:val="00760CAB"/>
    <w:rsid w:val="00764FC6"/>
    <w:rsid w:val="00765C11"/>
    <w:rsid w:val="00770CB0"/>
    <w:rsid w:val="0077380F"/>
    <w:rsid w:val="00775C9E"/>
    <w:rsid w:val="0077697F"/>
    <w:rsid w:val="007A32D0"/>
    <w:rsid w:val="007A381D"/>
    <w:rsid w:val="007A7085"/>
    <w:rsid w:val="007B0794"/>
    <w:rsid w:val="007B3871"/>
    <w:rsid w:val="007B6F0E"/>
    <w:rsid w:val="007C473E"/>
    <w:rsid w:val="007C6022"/>
    <w:rsid w:val="007C6AAF"/>
    <w:rsid w:val="007C77D0"/>
    <w:rsid w:val="007D0B5B"/>
    <w:rsid w:val="007E6012"/>
    <w:rsid w:val="00802306"/>
    <w:rsid w:val="008178F5"/>
    <w:rsid w:val="0083049E"/>
    <w:rsid w:val="00840AFF"/>
    <w:rsid w:val="00842267"/>
    <w:rsid w:val="00844558"/>
    <w:rsid w:val="0084787D"/>
    <w:rsid w:val="00856039"/>
    <w:rsid w:val="00865A20"/>
    <w:rsid w:val="008667C4"/>
    <w:rsid w:val="0086787C"/>
    <w:rsid w:val="00874CC7"/>
    <w:rsid w:val="00887088"/>
    <w:rsid w:val="008A373C"/>
    <w:rsid w:val="008B0A07"/>
    <w:rsid w:val="008B2D5D"/>
    <w:rsid w:val="008B2E3F"/>
    <w:rsid w:val="008B3420"/>
    <w:rsid w:val="008B34AE"/>
    <w:rsid w:val="008B66B5"/>
    <w:rsid w:val="008C174B"/>
    <w:rsid w:val="008C2B61"/>
    <w:rsid w:val="008C2E07"/>
    <w:rsid w:val="008C56C9"/>
    <w:rsid w:val="008C74FC"/>
    <w:rsid w:val="008E2470"/>
    <w:rsid w:val="008F127B"/>
    <w:rsid w:val="008F12D2"/>
    <w:rsid w:val="009018E3"/>
    <w:rsid w:val="00901A68"/>
    <w:rsid w:val="00906DCA"/>
    <w:rsid w:val="00907CEB"/>
    <w:rsid w:val="009103D0"/>
    <w:rsid w:val="00920066"/>
    <w:rsid w:val="00920620"/>
    <w:rsid w:val="00922B11"/>
    <w:rsid w:val="0094052B"/>
    <w:rsid w:val="00943634"/>
    <w:rsid w:val="0094628D"/>
    <w:rsid w:val="0094760E"/>
    <w:rsid w:val="009538EC"/>
    <w:rsid w:val="0096364C"/>
    <w:rsid w:val="00970CC5"/>
    <w:rsid w:val="00977151"/>
    <w:rsid w:val="00985F30"/>
    <w:rsid w:val="00990B4D"/>
    <w:rsid w:val="009961EB"/>
    <w:rsid w:val="00996482"/>
    <w:rsid w:val="009B1FD4"/>
    <w:rsid w:val="009B7415"/>
    <w:rsid w:val="009C14CE"/>
    <w:rsid w:val="009C4838"/>
    <w:rsid w:val="009D0BE0"/>
    <w:rsid w:val="009D380B"/>
    <w:rsid w:val="009D470E"/>
    <w:rsid w:val="009E7E72"/>
    <w:rsid w:val="009F7B6F"/>
    <w:rsid w:val="00A003F4"/>
    <w:rsid w:val="00A0176C"/>
    <w:rsid w:val="00A02525"/>
    <w:rsid w:val="00A04B13"/>
    <w:rsid w:val="00A12849"/>
    <w:rsid w:val="00A13422"/>
    <w:rsid w:val="00A15592"/>
    <w:rsid w:val="00A32700"/>
    <w:rsid w:val="00A404B7"/>
    <w:rsid w:val="00A46591"/>
    <w:rsid w:val="00A5689F"/>
    <w:rsid w:val="00A61D0C"/>
    <w:rsid w:val="00A62AA0"/>
    <w:rsid w:val="00A67564"/>
    <w:rsid w:val="00A67FEA"/>
    <w:rsid w:val="00A74CD5"/>
    <w:rsid w:val="00A774BD"/>
    <w:rsid w:val="00A800F8"/>
    <w:rsid w:val="00A808E7"/>
    <w:rsid w:val="00A8415A"/>
    <w:rsid w:val="00A841A6"/>
    <w:rsid w:val="00A86DA7"/>
    <w:rsid w:val="00A93334"/>
    <w:rsid w:val="00A93400"/>
    <w:rsid w:val="00A97EA6"/>
    <w:rsid w:val="00AA5D65"/>
    <w:rsid w:val="00AB5763"/>
    <w:rsid w:val="00AC31EB"/>
    <w:rsid w:val="00AC5B3F"/>
    <w:rsid w:val="00AC5F3C"/>
    <w:rsid w:val="00AD4AE5"/>
    <w:rsid w:val="00AD5235"/>
    <w:rsid w:val="00AE5F16"/>
    <w:rsid w:val="00AF24F6"/>
    <w:rsid w:val="00AF5A06"/>
    <w:rsid w:val="00B03182"/>
    <w:rsid w:val="00B063CE"/>
    <w:rsid w:val="00B06B2F"/>
    <w:rsid w:val="00B14012"/>
    <w:rsid w:val="00B2152A"/>
    <w:rsid w:val="00B2419A"/>
    <w:rsid w:val="00B423AF"/>
    <w:rsid w:val="00B432DB"/>
    <w:rsid w:val="00B455A4"/>
    <w:rsid w:val="00B4634D"/>
    <w:rsid w:val="00B5263D"/>
    <w:rsid w:val="00B56B1A"/>
    <w:rsid w:val="00B6115F"/>
    <w:rsid w:val="00B61A1B"/>
    <w:rsid w:val="00B6429A"/>
    <w:rsid w:val="00B802BF"/>
    <w:rsid w:val="00B91517"/>
    <w:rsid w:val="00B9652A"/>
    <w:rsid w:val="00B97877"/>
    <w:rsid w:val="00BA4081"/>
    <w:rsid w:val="00BB3A4B"/>
    <w:rsid w:val="00BB728C"/>
    <w:rsid w:val="00BC0019"/>
    <w:rsid w:val="00BC1F24"/>
    <w:rsid w:val="00BD1E7F"/>
    <w:rsid w:val="00BD4821"/>
    <w:rsid w:val="00BD6287"/>
    <w:rsid w:val="00BD6E52"/>
    <w:rsid w:val="00BE2432"/>
    <w:rsid w:val="00BE5F62"/>
    <w:rsid w:val="00BF2CFE"/>
    <w:rsid w:val="00C00DBA"/>
    <w:rsid w:val="00C010D6"/>
    <w:rsid w:val="00C0451A"/>
    <w:rsid w:val="00C05CB6"/>
    <w:rsid w:val="00C06DA5"/>
    <w:rsid w:val="00C12634"/>
    <w:rsid w:val="00C12E89"/>
    <w:rsid w:val="00C146C7"/>
    <w:rsid w:val="00C27228"/>
    <w:rsid w:val="00C360DE"/>
    <w:rsid w:val="00C42992"/>
    <w:rsid w:val="00C45561"/>
    <w:rsid w:val="00C46798"/>
    <w:rsid w:val="00C5115D"/>
    <w:rsid w:val="00C5680E"/>
    <w:rsid w:val="00C56BED"/>
    <w:rsid w:val="00C62134"/>
    <w:rsid w:val="00C62A71"/>
    <w:rsid w:val="00C63274"/>
    <w:rsid w:val="00C675C2"/>
    <w:rsid w:val="00C734DF"/>
    <w:rsid w:val="00C76225"/>
    <w:rsid w:val="00C90358"/>
    <w:rsid w:val="00C90503"/>
    <w:rsid w:val="00C92C2A"/>
    <w:rsid w:val="00C94894"/>
    <w:rsid w:val="00C95F75"/>
    <w:rsid w:val="00CA63A2"/>
    <w:rsid w:val="00CA7375"/>
    <w:rsid w:val="00CB11BC"/>
    <w:rsid w:val="00CB330E"/>
    <w:rsid w:val="00CB68D4"/>
    <w:rsid w:val="00CB6A8A"/>
    <w:rsid w:val="00CC024B"/>
    <w:rsid w:val="00CC2CC0"/>
    <w:rsid w:val="00CC655D"/>
    <w:rsid w:val="00CD3775"/>
    <w:rsid w:val="00CD6C05"/>
    <w:rsid w:val="00CD7FF7"/>
    <w:rsid w:val="00CE2B3F"/>
    <w:rsid w:val="00CE58C7"/>
    <w:rsid w:val="00D01B60"/>
    <w:rsid w:val="00D02018"/>
    <w:rsid w:val="00D07189"/>
    <w:rsid w:val="00D07E96"/>
    <w:rsid w:val="00D126B2"/>
    <w:rsid w:val="00D12BB1"/>
    <w:rsid w:val="00D12C8A"/>
    <w:rsid w:val="00D21F81"/>
    <w:rsid w:val="00D330DD"/>
    <w:rsid w:val="00D459F7"/>
    <w:rsid w:val="00D45C5F"/>
    <w:rsid w:val="00D526B1"/>
    <w:rsid w:val="00D56276"/>
    <w:rsid w:val="00D563BB"/>
    <w:rsid w:val="00D56446"/>
    <w:rsid w:val="00D61464"/>
    <w:rsid w:val="00D620DD"/>
    <w:rsid w:val="00D72FAB"/>
    <w:rsid w:val="00D7454D"/>
    <w:rsid w:val="00D75A18"/>
    <w:rsid w:val="00D75DD8"/>
    <w:rsid w:val="00D80E44"/>
    <w:rsid w:val="00D831CE"/>
    <w:rsid w:val="00D83E00"/>
    <w:rsid w:val="00D841AA"/>
    <w:rsid w:val="00D86D28"/>
    <w:rsid w:val="00D9314E"/>
    <w:rsid w:val="00DA1C62"/>
    <w:rsid w:val="00DA29BE"/>
    <w:rsid w:val="00DA422A"/>
    <w:rsid w:val="00DA4A22"/>
    <w:rsid w:val="00DA4BE8"/>
    <w:rsid w:val="00DA5ED6"/>
    <w:rsid w:val="00DB1107"/>
    <w:rsid w:val="00DB6DD5"/>
    <w:rsid w:val="00DC40C5"/>
    <w:rsid w:val="00DC7BB6"/>
    <w:rsid w:val="00DD02DE"/>
    <w:rsid w:val="00DD0D3D"/>
    <w:rsid w:val="00DD14AA"/>
    <w:rsid w:val="00DD55E1"/>
    <w:rsid w:val="00DD69A4"/>
    <w:rsid w:val="00DD75DB"/>
    <w:rsid w:val="00DE779C"/>
    <w:rsid w:val="00DE7C30"/>
    <w:rsid w:val="00DF44D8"/>
    <w:rsid w:val="00DF7757"/>
    <w:rsid w:val="00E026DB"/>
    <w:rsid w:val="00E065C1"/>
    <w:rsid w:val="00E07D89"/>
    <w:rsid w:val="00E129C9"/>
    <w:rsid w:val="00E135D1"/>
    <w:rsid w:val="00E170CA"/>
    <w:rsid w:val="00E178B5"/>
    <w:rsid w:val="00E20D7F"/>
    <w:rsid w:val="00E26F9C"/>
    <w:rsid w:val="00E332D3"/>
    <w:rsid w:val="00E342EB"/>
    <w:rsid w:val="00E3570D"/>
    <w:rsid w:val="00E40E31"/>
    <w:rsid w:val="00E45D7E"/>
    <w:rsid w:val="00E5075B"/>
    <w:rsid w:val="00E51288"/>
    <w:rsid w:val="00E6703D"/>
    <w:rsid w:val="00E74278"/>
    <w:rsid w:val="00E75756"/>
    <w:rsid w:val="00E8281C"/>
    <w:rsid w:val="00E87325"/>
    <w:rsid w:val="00E95413"/>
    <w:rsid w:val="00E97B7B"/>
    <w:rsid w:val="00EA4A07"/>
    <w:rsid w:val="00EA5AE2"/>
    <w:rsid w:val="00EA6CB6"/>
    <w:rsid w:val="00EC0DFE"/>
    <w:rsid w:val="00EC2BC6"/>
    <w:rsid w:val="00ED0DBD"/>
    <w:rsid w:val="00ED0EBF"/>
    <w:rsid w:val="00ED1152"/>
    <w:rsid w:val="00ED2FC4"/>
    <w:rsid w:val="00ED7C2C"/>
    <w:rsid w:val="00EF28EE"/>
    <w:rsid w:val="00EF61E2"/>
    <w:rsid w:val="00F015A8"/>
    <w:rsid w:val="00F072F0"/>
    <w:rsid w:val="00F07E79"/>
    <w:rsid w:val="00F10634"/>
    <w:rsid w:val="00F20C7B"/>
    <w:rsid w:val="00F22DB5"/>
    <w:rsid w:val="00F243FF"/>
    <w:rsid w:val="00F37F98"/>
    <w:rsid w:val="00F40FF5"/>
    <w:rsid w:val="00F41BEE"/>
    <w:rsid w:val="00F42951"/>
    <w:rsid w:val="00F453D6"/>
    <w:rsid w:val="00F50AFA"/>
    <w:rsid w:val="00F606A2"/>
    <w:rsid w:val="00F6238B"/>
    <w:rsid w:val="00F673D3"/>
    <w:rsid w:val="00F70E93"/>
    <w:rsid w:val="00F77FBE"/>
    <w:rsid w:val="00F810DC"/>
    <w:rsid w:val="00FA1571"/>
    <w:rsid w:val="00FA24C5"/>
    <w:rsid w:val="00FA3B2C"/>
    <w:rsid w:val="00FB2715"/>
    <w:rsid w:val="00FB4B1D"/>
    <w:rsid w:val="00FC1B8E"/>
    <w:rsid w:val="00FC354B"/>
    <w:rsid w:val="00FC77C9"/>
    <w:rsid w:val="00FD0B3E"/>
    <w:rsid w:val="00FD41F2"/>
    <w:rsid w:val="00FD5AF4"/>
    <w:rsid w:val="00FD6C54"/>
    <w:rsid w:val="00FD725E"/>
    <w:rsid w:val="00FE10FD"/>
    <w:rsid w:val="00FE332A"/>
    <w:rsid w:val="00FE5030"/>
    <w:rsid w:val="00FE59CD"/>
    <w:rsid w:val="00FE64CB"/>
    <w:rsid w:val="00FE6529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C1D0"/>
  <w15:docId w15:val="{4DC8C080-1171-4755-AA3E-11D0D3C7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0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4012"/>
    <w:pPr>
      <w:keepNext/>
      <w:spacing w:after="0" w:line="240" w:lineRule="auto"/>
      <w:ind w:firstLine="720"/>
      <w:outlineLvl w:val="6"/>
    </w:pPr>
    <w:rPr>
      <w:rFonts w:ascii="Times New Roman" w:eastAsiaTheme="minorEastAsia" w:hAnsi="Times New Roman" w:cs="Times New Roman"/>
      <w:b/>
      <w:sz w:val="24"/>
      <w:szCs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D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F2D23"/>
    <w:rPr>
      <w:i/>
      <w:iCs/>
    </w:rPr>
  </w:style>
  <w:style w:type="character" w:styleId="Strong">
    <w:name w:val="Strong"/>
    <w:basedOn w:val="DefaultParagraphFont"/>
    <w:uiPriority w:val="22"/>
    <w:qFormat/>
    <w:rsid w:val="00990B4D"/>
    <w:rPr>
      <w:b/>
      <w:bCs/>
    </w:rPr>
  </w:style>
  <w:style w:type="paragraph" w:styleId="ListParagraph">
    <w:name w:val="List Paragraph"/>
    <w:basedOn w:val="Normal"/>
    <w:uiPriority w:val="34"/>
    <w:qFormat/>
    <w:rsid w:val="00FE59CD"/>
    <w:pPr>
      <w:ind w:left="720"/>
      <w:contextualSpacing/>
    </w:pPr>
  </w:style>
  <w:style w:type="table" w:styleId="TableGrid">
    <w:name w:val="Table Grid"/>
    <w:basedOn w:val="TableNormal"/>
    <w:uiPriority w:val="59"/>
    <w:rsid w:val="00ED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D0EB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D0E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D0E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37F9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7F9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6E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5Dark-Accent2">
    <w:name w:val="Grid Table 5 Dark Accent 2"/>
    <w:basedOn w:val="TableNormal"/>
    <w:uiPriority w:val="50"/>
    <w:rsid w:val="00315F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paragraph" w:customStyle="1" w:styleId="v1msolistparagraph">
    <w:name w:val="v1msolistparagraph"/>
    <w:basedOn w:val="Normal"/>
    <w:rsid w:val="00CC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76"/>
  </w:style>
  <w:style w:type="paragraph" w:styleId="Footer">
    <w:name w:val="footer"/>
    <w:basedOn w:val="Normal"/>
    <w:link w:val="FooterChar"/>
    <w:uiPriority w:val="99"/>
    <w:unhideWhenUsed/>
    <w:rsid w:val="0074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76"/>
  </w:style>
  <w:style w:type="table" w:styleId="GridTable4-Accent4">
    <w:name w:val="Grid Table 4 Accent 4"/>
    <w:basedOn w:val="TableNormal"/>
    <w:uiPriority w:val="49"/>
    <w:rsid w:val="000C359C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9206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4-Accent41">
    <w:name w:val="Grid Table 4 - Accent 41"/>
    <w:basedOn w:val="TableNormal"/>
    <w:next w:val="GridTable4-Accent4"/>
    <w:uiPriority w:val="49"/>
    <w:rsid w:val="00F243FF"/>
    <w:pPr>
      <w:spacing w:after="0" w:line="240" w:lineRule="auto"/>
    </w:pPr>
    <w:tblPr>
      <w:tblStyleRowBandSize w:val="1"/>
      <w:tblStyleColBandSize w:val="1"/>
      <w:tblBorders>
        <w:top w:val="single" w:sz="4" w:space="0" w:color="B2BBCB"/>
        <w:left w:val="single" w:sz="4" w:space="0" w:color="B2BBCB"/>
        <w:bottom w:val="single" w:sz="4" w:space="0" w:color="B2BBCB"/>
        <w:right w:val="single" w:sz="4" w:space="0" w:color="B2BBCB"/>
        <w:insideH w:val="single" w:sz="4" w:space="0" w:color="B2BBCB"/>
        <w:insideV w:val="single" w:sz="4" w:space="0" w:color="B2BBC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F8FA9"/>
          <w:left w:val="single" w:sz="4" w:space="0" w:color="7F8FA9"/>
          <w:bottom w:val="single" w:sz="4" w:space="0" w:color="7F8FA9"/>
          <w:right w:val="single" w:sz="4" w:space="0" w:color="7F8FA9"/>
          <w:insideH w:val="nil"/>
          <w:insideV w:val="nil"/>
        </w:tcBorders>
        <w:shd w:val="clear" w:color="auto" w:fill="7F8FA9"/>
      </w:tcPr>
    </w:tblStylePr>
    <w:tblStylePr w:type="lastRow">
      <w:rPr>
        <w:b/>
        <w:bCs/>
      </w:rPr>
      <w:tblPr/>
      <w:tcPr>
        <w:tcBorders>
          <w:top w:val="double" w:sz="4" w:space="0" w:color="7F8F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/>
      </w:tcPr>
    </w:tblStylePr>
    <w:tblStylePr w:type="band1Horz">
      <w:tblPr/>
      <w:tcPr>
        <w:shd w:val="clear" w:color="auto" w:fill="E5E8ED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B14012"/>
    <w:rPr>
      <w:rFonts w:ascii="Times New Roman" w:eastAsiaTheme="minorEastAsia" w:hAnsi="Times New Roman" w:cs="Times New Roman"/>
      <w:b/>
      <w:sz w:val="24"/>
      <w:szCs w:val="24"/>
      <w:lang w:val="sr-Latn-M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14012"/>
    <w:pPr>
      <w:spacing w:after="160" w:line="259" w:lineRule="auto"/>
      <w:ind w:firstLine="720"/>
      <w:jc w:val="both"/>
    </w:pPr>
    <w:rPr>
      <w:rFonts w:ascii="Times New Roman" w:eastAsia="Calibri" w:hAnsi="Times New Roman" w:cs="Times New Roman"/>
      <w:bCs/>
      <w:lang w:val="sr-Latn-M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4012"/>
    <w:rPr>
      <w:rFonts w:ascii="Times New Roman" w:eastAsia="Calibri" w:hAnsi="Times New Roman" w:cs="Times New Roman"/>
      <w:bCs/>
      <w:lang w:val="sr-Latn-M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012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40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4012"/>
  </w:style>
  <w:style w:type="character" w:styleId="Hyperlink">
    <w:name w:val="Hyperlink"/>
    <w:basedOn w:val="DefaultParagraphFont"/>
    <w:uiPriority w:val="99"/>
    <w:unhideWhenUsed/>
    <w:rsid w:val="00BD1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5D02-51C0-4065-8614-42087EE9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12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Dragoljub</cp:lastModifiedBy>
  <cp:revision>63</cp:revision>
  <cp:lastPrinted>2025-03-31T10:31:00Z</cp:lastPrinted>
  <dcterms:created xsi:type="dcterms:W3CDTF">2024-03-14T14:45:00Z</dcterms:created>
  <dcterms:modified xsi:type="dcterms:W3CDTF">2025-04-02T15:09:00Z</dcterms:modified>
</cp:coreProperties>
</file>